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5915" w:rsidRDefault="00265915">
      <w:pPr>
        <w:pStyle w:val="Default"/>
        <w:jc w:val="center"/>
        <w:rPr>
          <w:sz w:val="56"/>
          <w:szCs w:val="56"/>
        </w:rPr>
      </w:pPr>
    </w:p>
    <w:p w:rsidR="00265915" w:rsidRDefault="00265915">
      <w:pPr>
        <w:pStyle w:val="Default"/>
        <w:jc w:val="center"/>
        <w:rPr>
          <w:sz w:val="56"/>
          <w:szCs w:val="56"/>
        </w:rPr>
      </w:pPr>
    </w:p>
    <w:p w:rsidR="00265915" w:rsidRDefault="00265915">
      <w:pPr>
        <w:pStyle w:val="Default"/>
        <w:jc w:val="center"/>
        <w:rPr>
          <w:sz w:val="84"/>
          <w:szCs w:val="84"/>
        </w:rPr>
      </w:pPr>
    </w:p>
    <w:p w:rsidR="00265915" w:rsidRDefault="00265915">
      <w:pPr>
        <w:pStyle w:val="Default"/>
        <w:jc w:val="center"/>
        <w:rPr>
          <w:sz w:val="84"/>
          <w:szCs w:val="84"/>
        </w:rPr>
      </w:pPr>
    </w:p>
    <w:p w:rsidR="00265915" w:rsidRDefault="00D23F2A">
      <w:pPr>
        <w:pStyle w:val="Default"/>
        <w:jc w:val="center"/>
        <w:rPr>
          <w:sz w:val="84"/>
          <w:szCs w:val="84"/>
        </w:rPr>
      </w:pPr>
      <w:r>
        <w:rPr>
          <w:rFonts w:hint="eastAsia"/>
          <w:sz w:val="84"/>
          <w:szCs w:val="84"/>
        </w:rPr>
        <w:t>2021年度</w:t>
      </w:r>
    </w:p>
    <w:p w:rsidR="00265915" w:rsidRDefault="00D23F2A">
      <w:pPr>
        <w:pStyle w:val="Default"/>
        <w:jc w:val="center"/>
        <w:rPr>
          <w:sz w:val="84"/>
          <w:szCs w:val="84"/>
        </w:rPr>
      </w:pPr>
      <w:r>
        <w:rPr>
          <w:rFonts w:hint="eastAsia"/>
          <w:sz w:val="84"/>
          <w:szCs w:val="84"/>
        </w:rPr>
        <w:t>湖南省体育局部门决算</w:t>
      </w:r>
    </w:p>
    <w:p w:rsidR="00265915" w:rsidRDefault="00265915">
      <w:pPr>
        <w:pStyle w:val="Default"/>
        <w:jc w:val="center"/>
        <w:rPr>
          <w:sz w:val="56"/>
          <w:szCs w:val="56"/>
        </w:rPr>
      </w:pPr>
    </w:p>
    <w:p w:rsidR="00265915" w:rsidRDefault="00265915">
      <w:pPr>
        <w:pStyle w:val="Default"/>
        <w:jc w:val="center"/>
        <w:rPr>
          <w:sz w:val="56"/>
          <w:szCs w:val="56"/>
        </w:rPr>
      </w:pPr>
    </w:p>
    <w:p w:rsidR="00265915" w:rsidRDefault="00265915">
      <w:pPr>
        <w:pStyle w:val="Default"/>
        <w:jc w:val="center"/>
        <w:rPr>
          <w:sz w:val="56"/>
          <w:szCs w:val="56"/>
        </w:rPr>
      </w:pPr>
    </w:p>
    <w:p w:rsidR="00265915" w:rsidRDefault="00265915">
      <w:pPr>
        <w:pStyle w:val="Default"/>
        <w:jc w:val="center"/>
        <w:rPr>
          <w:sz w:val="56"/>
          <w:szCs w:val="56"/>
        </w:rPr>
      </w:pPr>
    </w:p>
    <w:p w:rsidR="00265915" w:rsidRDefault="00265915">
      <w:pPr>
        <w:pStyle w:val="Default"/>
        <w:jc w:val="center"/>
        <w:rPr>
          <w:sz w:val="32"/>
          <w:szCs w:val="32"/>
        </w:rPr>
      </w:pPr>
    </w:p>
    <w:p w:rsidR="00265915" w:rsidRDefault="00265915">
      <w:pPr>
        <w:pStyle w:val="Default"/>
        <w:jc w:val="center"/>
        <w:rPr>
          <w:sz w:val="32"/>
          <w:szCs w:val="32"/>
        </w:rPr>
      </w:pPr>
    </w:p>
    <w:p w:rsidR="00265915" w:rsidRDefault="00265915">
      <w:pPr>
        <w:pStyle w:val="Default"/>
        <w:jc w:val="center"/>
        <w:rPr>
          <w:sz w:val="32"/>
          <w:szCs w:val="32"/>
        </w:rPr>
      </w:pPr>
    </w:p>
    <w:p w:rsidR="00265915" w:rsidRDefault="00265915">
      <w:pPr>
        <w:pStyle w:val="Default"/>
        <w:jc w:val="center"/>
        <w:rPr>
          <w:sz w:val="32"/>
          <w:szCs w:val="32"/>
        </w:rPr>
      </w:pPr>
    </w:p>
    <w:p w:rsidR="00265915" w:rsidRDefault="00265915">
      <w:pPr>
        <w:pStyle w:val="Default"/>
        <w:jc w:val="center"/>
        <w:rPr>
          <w:sz w:val="32"/>
          <w:szCs w:val="32"/>
        </w:rPr>
      </w:pPr>
    </w:p>
    <w:p w:rsidR="00265915" w:rsidRDefault="00265915">
      <w:pPr>
        <w:pStyle w:val="Default"/>
        <w:spacing w:line="540" w:lineRule="exact"/>
        <w:jc w:val="center"/>
        <w:rPr>
          <w:sz w:val="56"/>
          <w:szCs w:val="56"/>
        </w:rPr>
      </w:pPr>
    </w:p>
    <w:p w:rsidR="00265915" w:rsidRDefault="00265915">
      <w:pPr>
        <w:pStyle w:val="Default"/>
        <w:spacing w:line="500" w:lineRule="exact"/>
        <w:jc w:val="center"/>
        <w:rPr>
          <w:b/>
          <w:sz w:val="36"/>
          <w:szCs w:val="28"/>
        </w:rPr>
      </w:pPr>
    </w:p>
    <w:p w:rsidR="00265915" w:rsidRDefault="00265915">
      <w:pPr>
        <w:pStyle w:val="Default"/>
        <w:spacing w:line="500" w:lineRule="exact"/>
        <w:jc w:val="center"/>
        <w:rPr>
          <w:b/>
          <w:sz w:val="36"/>
          <w:szCs w:val="28"/>
        </w:rPr>
      </w:pPr>
    </w:p>
    <w:p w:rsidR="00265915" w:rsidRDefault="00D23F2A">
      <w:pPr>
        <w:pStyle w:val="Default"/>
        <w:spacing w:line="500" w:lineRule="exact"/>
        <w:jc w:val="center"/>
        <w:rPr>
          <w:b/>
          <w:sz w:val="36"/>
          <w:szCs w:val="28"/>
        </w:rPr>
      </w:pPr>
      <w:r>
        <w:rPr>
          <w:rFonts w:hint="eastAsia"/>
          <w:b/>
          <w:sz w:val="36"/>
          <w:szCs w:val="28"/>
        </w:rPr>
        <w:lastRenderedPageBreak/>
        <w:t>目录</w:t>
      </w:r>
    </w:p>
    <w:p w:rsidR="00265915" w:rsidRDefault="00D23F2A">
      <w:pPr>
        <w:pStyle w:val="Default"/>
        <w:spacing w:line="500" w:lineRule="exact"/>
        <w:rPr>
          <w:rFonts w:ascii="仿宋_GB2312" w:hAnsi="仿宋_GB2312" w:cs="仿宋_GB2312"/>
          <w:b/>
          <w:sz w:val="28"/>
          <w:szCs w:val="28"/>
        </w:rPr>
      </w:pPr>
      <w:r>
        <w:rPr>
          <w:rFonts w:hint="eastAsia"/>
          <w:b/>
          <w:sz w:val="28"/>
          <w:szCs w:val="28"/>
        </w:rPr>
        <w:t>第一部分湖南省体育局概况</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265915" w:rsidRDefault="00D23F2A">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21年度部门决算表</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265915" w:rsidRDefault="00D23F2A">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21年度部门决算情况说明</w:t>
      </w:r>
    </w:p>
    <w:p w:rsidR="00265915" w:rsidRDefault="00D23F2A">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265915" w:rsidRDefault="00D23F2A">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265915" w:rsidRDefault="00D23F2A">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265915" w:rsidRDefault="00D23F2A">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265915" w:rsidRDefault="00D23F2A">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265915" w:rsidRDefault="00D23F2A">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265915" w:rsidRDefault="00D23F2A">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265915" w:rsidRDefault="00D23F2A">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265915" w:rsidRDefault="00D23F2A">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机关运行经费支出说明</w:t>
      </w:r>
    </w:p>
    <w:p w:rsidR="00265915" w:rsidRDefault="00D23F2A">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十、一般性支出情况说明</w:t>
      </w:r>
    </w:p>
    <w:p w:rsidR="00265915" w:rsidRDefault="00D23F2A">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十一、政府采购支出说明</w:t>
      </w:r>
    </w:p>
    <w:p w:rsidR="00265915" w:rsidRDefault="00D23F2A">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十二、国有资产占用情况说明</w:t>
      </w:r>
    </w:p>
    <w:p w:rsidR="00265915" w:rsidRDefault="00D23F2A">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w:t>
      </w:r>
      <w:r>
        <w:rPr>
          <w:rFonts w:asciiTheme="minorEastAsia" w:eastAsiaTheme="minorEastAsia" w:hAnsiTheme="minorEastAsia" w:cs="仿宋_GB2312" w:hint="eastAsia"/>
          <w:sz w:val="28"/>
          <w:szCs w:val="28"/>
        </w:rPr>
        <w:t>2021年</w:t>
      </w:r>
      <w:r>
        <w:rPr>
          <w:rFonts w:ascii="仿宋_GB2312" w:eastAsiaTheme="minorEastAsia" w:hAnsi="仿宋_GB2312" w:cs="仿宋_GB2312" w:hint="eastAsia"/>
          <w:sz w:val="28"/>
          <w:szCs w:val="28"/>
        </w:rPr>
        <w:t>度预算绩效情况说明</w:t>
      </w:r>
    </w:p>
    <w:p w:rsidR="00265915" w:rsidRDefault="00D23F2A">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265915" w:rsidRDefault="00D23F2A">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265915" w:rsidRDefault="00265915">
      <w:pPr>
        <w:jc w:val="center"/>
        <w:rPr>
          <w:sz w:val="72"/>
          <w:szCs w:val="72"/>
        </w:rPr>
      </w:pPr>
    </w:p>
    <w:p w:rsidR="00265915" w:rsidRDefault="00265915">
      <w:pPr>
        <w:jc w:val="center"/>
        <w:rPr>
          <w:sz w:val="72"/>
          <w:szCs w:val="72"/>
        </w:rPr>
      </w:pPr>
    </w:p>
    <w:p w:rsidR="00265915" w:rsidRDefault="00265915">
      <w:pPr>
        <w:jc w:val="center"/>
        <w:rPr>
          <w:sz w:val="72"/>
          <w:szCs w:val="72"/>
        </w:rPr>
      </w:pPr>
    </w:p>
    <w:p w:rsidR="00265915" w:rsidRDefault="00265915">
      <w:pPr>
        <w:jc w:val="center"/>
        <w:rPr>
          <w:sz w:val="72"/>
          <w:szCs w:val="72"/>
        </w:rPr>
      </w:pPr>
    </w:p>
    <w:p w:rsidR="00265915" w:rsidRDefault="00265915">
      <w:pPr>
        <w:rPr>
          <w:sz w:val="72"/>
          <w:szCs w:val="72"/>
        </w:rPr>
      </w:pPr>
    </w:p>
    <w:p w:rsidR="00265915" w:rsidRDefault="00D23F2A">
      <w:pPr>
        <w:pStyle w:val="Default"/>
        <w:jc w:val="center"/>
        <w:rPr>
          <w:sz w:val="84"/>
          <w:szCs w:val="84"/>
        </w:rPr>
      </w:pPr>
      <w:r>
        <w:rPr>
          <w:rFonts w:hint="eastAsia"/>
          <w:sz w:val="84"/>
          <w:szCs w:val="84"/>
        </w:rPr>
        <w:t>第一部分</w:t>
      </w:r>
      <w:r>
        <w:rPr>
          <w:sz w:val="84"/>
          <w:szCs w:val="84"/>
        </w:rPr>
        <w:t xml:space="preserve"> </w:t>
      </w:r>
    </w:p>
    <w:p w:rsidR="00265915" w:rsidRDefault="00265915">
      <w:pPr>
        <w:pStyle w:val="Default"/>
        <w:jc w:val="center"/>
        <w:rPr>
          <w:sz w:val="84"/>
          <w:szCs w:val="84"/>
        </w:rPr>
      </w:pPr>
    </w:p>
    <w:p w:rsidR="00265915" w:rsidRDefault="00D23F2A">
      <w:pPr>
        <w:pStyle w:val="Default"/>
        <w:jc w:val="center"/>
        <w:rPr>
          <w:sz w:val="84"/>
          <w:szCs w:val="84"/>
        </w:rPr>
      </w:pPr>
      <w:r>
        <w:rPr>
          <w:rFonts w:hint="eastAsia"/>
          <w:sz w:val="84"/>
          <w:szCs w:val="84"/>
        </w:rPr>
        <w:t>湖南省体育局概况</w:t>
      </w:r>
    </w:p>
    <w:p w:rsidR="00265915" w:rsidRDefault="00265915">
      <w:pPr>
        <w:jc w:val="center"/>
        <w:rPr>
          <w:sz w:val="72"/>
          <w:szCs w:val="72"/>
        </w:rPr>
      </w:pPr>
    </w:p>
    <w:p w:rsidR="00265915" w:rsidRDefault="00265915">
      <w:pPr>
        <w:jc w:val="center"/>
        <w:rPr>
          <w:sz w:val="72"/>
          <w:szCs w:val="72"/>
        </w:rPr>
      </w:pPr>
    </w:p>
    <w:p w:rsidR="00265915" w:rsidRDefault="00265915">
      <w:pPr>
        <w:jc w:val="center"/>
        <w:rPr>
          <w:sz w:val="72"/>
          <w:szCs w:val="72"/>
        </w:rPr>
      </w:pPr>
    </w:p>
    <w:p w:rsidR="00265915" w:rsidRDefault="00265915">
      <w:pPr>
        <w:jc w:val="center"/>
        <w:rPr>
          <w:sz w:val="72"/>
          <w:szCs w:val="72"/>
        </w:rPr>
      </w:pPr>
    </w:p>
    <w:p w:rsidR="00265915" w:rsidRDefault="00265915">
      <w:pPr>
        <w:jc w:val="center"/>
        <w:rPr>
          <w:sz w:val="72"/>
          <w:szCs w:val="72"/>
        </w:rPr>
      </w:pPr>
    </w:p>
    <w:p w:rsidR="00265915" w:rsidRDefault="00265915">
      <w:pPr>
        <w:pStyle w:val="1"/>
        <w:ind w:left="720" w:firstLineChars="0" w:firstLine="0"/>
        <w:jc w:val="left"/>
        <w:rPr>
          <w:rFonts w:ascii="黑体" w:eastAsia="黑体" w:hAnsi="黑体"/>
          <w:sz w:val="32"/>
          <w:szCs w:val="32"/>
        </w:rPr>
      </w:pPr>
    </w:p>
    <w:p w:rsidR="00265915" w:rsidRDefault="00265915">
      <w:pPr>
        <w:pStyle w:val="1"/>
        <w:ind w:left="720" w:firstLineChars="0" w:firstLine="0"/>
        <w:jc w:val="left"/>
        <w:rPr>
          <w:rFonts w:ascii="黑体" w:eastAsia="黑体" w:hAnsi="黑体"/>
          <w:sz w:val="32"/>
          <w:szCs w:val="32"/>
        </w:rPr>
      </w:pPr>
    </w:p>
    <w:p w:rsidR="00265915" w:rsidRDefault="00265915">
      <w:pPr>
        <w:pStyle w:val="1"/>
        <w:ind w:left="720" w:firstLineChars="0" w:firstLine="0"/>
        <w:jc w:val="left"/>
        <w:rPr>
          <w:rFonts w:ascii="黑体" w:eastAsia="黑体" w:hAnsi="黑体"/>
          <w:sz w:val="32"/>
          <w:szCs w:val="32"/>
        </w:rPr>
      </w:pPr>
    </w:p>
    <w:p w:rsidR="00265915" w:rsidRDefault="00D23F2A">
      <w:pPr>
        <w:pStyle w:val="10"/>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（一）贯彻执行国家体育工作政策和法规，起草有关地方性法规、规章草案。</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（二）研究全省体育发展战略，制定体育事业发展规划，协调区域性体育事业发展，负责推动多元化体育服务体系建设，推进体育公共服务和体育体制改革。</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统筹规划群众体育发展，负责推行全民健身计划，指导群众性体育活动的开展，监督实施国家体育锻炼标准，推动国民体质监测和社会体育指导工作队伍制度建设，指导公共体育设施的建设，负责公共体育设施的监督管理。</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（四）统筹规划竞技体育发展，研究全省体育竞赛项目的设置与布局，组织管理体育训练、体育竞赛、运动队伍建设，协调运动员社会保障工作。</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（五）统筹规划青少年体育发展，加强体育后备人才建设，指导和推进青少年体育工作。</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（六）组织开展体育领域的科研活动及成果推广，负责组织、协调、监督体育运动中的反兴奋剂工作。</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（七）拟订体育产业发展规划、政策，发展体育市场，规范体育服务管理，推动体育标准化建设，负责体育彩票发行管理。</w:t>
      </w:r>
    </w:p>
    <w:p w:rsidR="00265915" w:rsidRDefault="00D23F2A">
      <w:pPr>
        <w:ind w:firstLineChars="200" w:firstLine="640"/>
        <w:rPr>
          <w:rFonts w:ascii="仿宋_GB2312" w:eastAsia="仿宋_GB2312" w:hAnsiTheme="minorEastAsia"/>
          <w:sz w:val="28"/>
          <w:szCs w:val="32"/>
        </w:rPr>
      </w:pPr>
      <w:r>
        <w:rPr>
          <w:rFonts w:ascii="仿宋_GB2312" w:eastAsia="仿宋_GB2312" w:hAnsi="宋体" w:cs="宋体" w:hint="eastAsia"/>
          <w:sz w:val="32"/>
          <w:szCs w:val="32"/>
        </w:rPr>
        <w:t>（八）承办省人民政府交办的其他事项。</w:t>
      </w:r>
    </w:p>
    <w:p w:rsidR="00265915" w:rsidRDefault="00D23F2A">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265915" w:rsidRDefault="00D23F2A">
      <w:pPr>
        <w:widowControl/>
        <w:jc w:val="left"/>
        <w:rPr>
          <w:rFonts w:asciiTheme="minorEastAsia" w:hAnsiTheme="minorEastAsia"/>
          <w:bCs/>
          <w:kern w:val="0"/>
          <w:sz w:val="32"/>
          <w:szCs w:val="32"/>
        </w:rPr>
      </w:pPr>
      <w:r>
        <w:rPr>
          <w:rFonts w:asciiTheme="minorEastAsia" w:hAnsiTheme="minorEastAsia" w:hint="eastAsia"/>
          <w:bCs/>
          <w:kern w:val="0"/>
          <w:sz w:val="32"/>
          <w:szCs w:val="32"/>
        </w:rPr>
        <w:t>（一）内设机构设置</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湖南省体育局机内设机构包括办公室、群众体育处，竞技体育与科技处，青少年体育处,体育经济处，政策法规处，人事教育处七个职能处室，离退休人员管理服务处、机关党委、纪检（监察）机构按有关规定设置。</w:t>
      </w:r>
    </w:p>
    <w:p w:rsidR="00265915" w:rsidRDefault="00D23F2A">
      <w:pPr>
        <w:widowControl/>
        <w:numPr>
          <w:ilvl w:val="0"/>
          <w:numId w:val="2"/>
        </w:numPr>
        <w:spacing w:line="600" w:lineRule="exact"/>
        <w:rPr>
          <w:rFonts w:asciiTheme="minorEastAsia" w:hAnsiTheme="minorEastAsia"/>
          <w:bCs/>
          <w:kern w:val="0"/>
          <w:sz w:val="32"/>
          <w:szCs w:val="32"/>
        </w:rPr>
      </w:pPr>
      <w:r>
        <w:rPr>
          <w:rFonts w:asciiTheme="minorEastAsia" w:hAnsiTheme="minorEastAsia" w:hint="eastAsia"/>
          <w:bCs/>
          <w:kern w:val="0"/>
          <w:sz w:val="32"/>
          <w:szCs w:val="32"/>
        </w:rPr>
        <w:lastRenderedPageBreak/>
        <w:t>决算单位构成</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湖南省体育局</w:t>
      </w:r>
      <w:r>
        <w:rPr>
          <w:rFonts w:ascii="仿宋_GB2312" w:eastAsia="仿宋_GB2312" w:hAnsi="宋体" w:cs="宋体"/>
          <w:sz w:val="32"/>
          <w:szCs w:val="32"/>
        </w:rPr>
        <w:t>20</w:t>
      </w:r>
      <w:r>
        <w:rPr>
          <w:rFonts w:ascii="仿宋_GB2312" w:eastAsia="仿宋_GB2312" w:hAnsi="宋体" w:cs="宋体" w:hint="eastAsia"/>
          <w:sz w:val="32"/>
          <w:szCs w:val="32"/>
        </w:rPr>
        <w:t>21年部门决算汇总公开单位构成包括：</w:t>
      </w:r>
    </w:p>
    <w:p w:rsidR="00265915" w:rsidRDefault="00D23F2A">
      <w:pPr>
        <w:ind w:firstLine="640"/>
        <w:rPr>
          <w:rFonts w:ascii="仿宋_GB2312" w:eastAsia="仿宋_GB2312" w:hAnsi="宋体" w:cs="宋体"/>
          <w:sz w:val="32"/>
          <w:szCs w:val="32"/>
        </w:rPr>
      </w:pPr>
      <w:r>
        <w:rPr>
          <w:rFonts w:ascii="仿宋_GB2312" w:eastAsia="仿宋_GB2312" w:hAnsi="宋体" w:cs="宋体" w:hint="eastAsia"/>
          <w:sz w:val="32"/>
          <w:szCs w:val="32"/>
        </w:rPr>
        <w:t>（一）湖南省体育局本级（行政单位）</w:t>
      </w:r>
    </w:p>
    <w:p w:rsidR="00265915" w:rsidRDefault="00D23F2A">
      <w:pPr>
        <w:ind w:firstLine="640"/>
        <w:rPr>
          <w:rFonts w:ascii="仿宋_GB2312" w:eastAsia="仿宋_GB2312" w:hAnsi="Arial Narrow"/>
          <w:sz w:val="32"/>
          <w:szCs w:val="32"/>
        </w:rPr>
      </w:pPr>
      <w:r>
        <w:rPr>
          <w:rFonts w:ascii="仿宋_GB2312" w:eastAsia="仿宋_GB2312" w:hAnsi="宋体" w:cs="宋体" w:hint="eastAsia"/>
          <w:sz w:val="32"/>
          <w:szCs w:val="32"/>
        </w:rPr>
        <w:t>（二）湖南省体育人才交流服务中心</w:t>
      </w:r>
    </w:p>
    <w:p w:rsidR="00265915" w:rsidRDefault="00D23F2A">
      <w:pPr>
        <w:ind w:firstLineChars="200" w:firstLine="640"/>
        <w:rPr>
          <w:rFonts w:ascii="仿宋_GB2312" w:eastAsia="仿宋_GB2312" w:hAnsi="Arial Narrow"/>
          <w:sz w:val="32"/>
          <w:szCs w:val="32"/>
        </w:rPr>
      </w:pPr>
      <w:r>
        <w:rPr>
          <w:rFonts w:ascii="仿宋_GB2312" w:eastAsia="仿宋_GB2312" w:hAnsi="宋体" w:cs="宋体" w:hint="eastAsia"/>
          <w:sz w:val="32"/>
          <w:szCs w:val="32"/>
        </w:rPr>
        <w:t>（三）湖南省体操运动管理中心</w:t>
      </w:r>
    </w:p>
    <w:p w:rsidR="00265915" w:rsidRDefault="00D23F2A">
      <w:pPr>
        <w:ind w:firstLineChars="200" w:firstLine="640"/>
        <w:rPr>
          <w:rFonts w:ascii="仿宋_GB2312" w:eastAsia="仿宋_GB2312" w:hAnsi="Arial Narrow"/>
          <w:sz w:val="32"/>
          <w:szCs w:val="32"/>
        </w:rPr>
      </w:pPr>
      <w:r>
        <w:rPr>
          <w:rFonts w:ascii="仿宋_GB2312" w:eastAsia="仿宋_GB2312" w:hAnsi="宋体" w:cs="宋体" w:hint="eastAsia"/>
          <w:sz w:val="32"/>
          <w:szCs w:val="32"/>
        </w:rPr>
        <w:t>（四）湖南省体育场</w:t>
      </w:r>
    </w:p>
    <w:p w:rsidR="00265915" w:rsidRDefault="00D23F2A">
      <w:pPr>
        <w:ind w:firstLineChars="200" w:firstLine="640"/>
        <w:rPr>
          <w:rFonts w:ascii="仿宋_GB2312" w:eastAsia="仿宋_GB2312" w:hAnsi="Arial Narrow"/>
          <w:sz w:val="32"/>
          <w:szCs w:val="32"/>
        </w:rPr>
      </w:pPr>
      <w:r>
        <w:rPr>
          <w:rFonts w:ascii="仿宋_GB2312" w:eastAsia="仿宋_GB2312" w:hAnsi="宋体" w:cs="宋体" w:hint="eastAsia"/>
          <w:sz w:val="32"/>
          <w:szCs w:val="32"/>
        </w:rPr>
        <w:t>（五）湖南贺龙体育馆</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（六）湖南省水上运动管理中心</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（七）湖南省航空运动管理中心</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（八）湖南郴州体育训练基地</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（九）湖南省体育模型和摩托艇运动管理中心</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（十）湖南体育职业学院</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（十一）湖南省田径运动管理中心</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（十二）湖南省体育运动医疗专科医院</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（十三）湖南省羽毛球乒乓球运动管理中心</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（十四）湖南省举重运动管理中心</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（十五）湖南省网球足球运动管理中心</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（十六）湖南省游泳运动管理中心</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（十七）湖南省射击运动管理中心</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（十八）湖南省摔跤柔道跆拳道运动管理中心</w:t>
      </w:r>
    </w:p>
    <w:p w:rsidR="00265915" w:rsidRDefault="00D23F2A">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（十九）湖南省体育局装备服务中心</w:t>
      </w:r>
    </w:p>
    <w:p w:rsidR="00265915" w:rsidRDefault="00D23F2A">
      <w:pPr>
        <w:ind w:firstLineChars="200" w:firstLine="640"/>
        <w:rPr>
          <w:rFonts w:ascii="仿宋_GB2312" w:eastAsia="仿宋_GB2312" w:hAnsi="Arial Narrow"/>
          <w:sz w:val="32"/>
          <w:szCs w:val="32"/>
        </w:rPr>
      </w:pPr>
      <w:r>
        <w:rPr>
          <w:rFonts w:ascii="仿宋_GB2312" w:eastAsia="仿宋_GB2312" w:hAnsi="宋体" w:cs="宋体" w:hint="eastAsia"/>
          <w:sz w:val="32"/>
          <w:szCs w:val="32"/>
        </w:rPr>
        <w:t>（二十）湖南省社会体育指导服务中心</w:t>
      </w:r>
    </w:p>
    <w:p w:rsidR="00265915" w:rsidRDefault="00265915">
      <w:pPr>
        <w:jc w:val="left"/>
        <w:rPr>
          <w:rFonts w:ascii="仿宋_GB2312" w:eastAsia="仿宋_GB2312" w:hAnsiTheme="minorEastAsia"/>
          <w:sz w:val="28"/>
          <w:szCs w:val="32"/>
        </w:rPr>
      </w:pPr>
    </w:p>
    <w:p w:rsidR="00265915" w:rsidRDefault="00265915">
      <w:pPr>
        <w:jc w:val="center"/>
        <w:rPr>
          <w:rFonts w:ascii="黑体" w:eastAsia="黑体" w:hAnsi="黑体"/>
          <w:sz w:val="28"/>
          <w:szCs w:val="28"/>
        </w:rPr>
      </w:pPr>
    </w:p>
    <w:p w:rsidR="00265915" w:rsidRDefault="00265915">
      <w:pPr>
        <w:jc w:val="center"/>
        <w:rPr>
          <w:rFonts w:ascii="黑体" w:eastAsia="黑体" w:hAnsi="黑体"/>
          <w:sz w:val="28"/>
          <w:szCs w:val="28"/>
        </w:rPr>
      </w:pPr>
    </w:p>
    <w:p w:rsidR="00265915" w:rsidRDefault="00265915">
      <w:pPr>
        <w:jc w:val="center"/>
        <w:rPr>
          <w:rFonts w:ascii="黑体" w:eastAsia="黑体" w:hAnsi="黑体"/>
          <w:sz w:val="28"/>
          <w:szCs w:val="28"/>
        </w:rPr>
      </w:pPr>
    </w:p>
    <w:p w:rsidR="00265915" w:rsidRDefault="00265915">
      <w:pPr>
        <w:jc w:val="center"/>
        <w:rPr>
          <w:rFonts w:ascii="黑体" w:eastAsia="黑体" w:hAnsi="黑体"/>
          <w:sz w:val="28"/>
          <w:szCs w:val="28"/>
        </w:rPr>
      </w:pPr>
    </w:p>
    <w:p w:rsidR="00265915" w:rsidRDefault="00265915">
      <w:pPr>
        <w:jc w:val="center"/>
        <w:rPr>
          <w:rFonts w:ascii="黑体" w:eastAsia="黑体" w:hAnsi="黑体"/>
          <w:sz w:val="28"/>
          <w:szCs w:val="28"/>
        </w:rPr>
      </w:pPr>
    </w:p>
    <w:p w:rsidR="00265915" w:rsidRDefault="00265915">
      <w:pPr>
        <w:jc w:val="center"/>
        <w:rPr>
          <w:sz w:val="72"/>
          <w:szCs w:val="72"/>
        </w:rPr>
      </w:pPr>
    </w:p>
    <w:p w:rsidR="00265915" w:rsidRDefault="00265915">
      <w:pPr>
        <w:jc w:val="center"/>
        <w:rPr>
          <w:sz w:val="72"/>
          <w:szCs w:val="72"/>
        </w:rPr>
      </w:pPr>
    </w:p>
    <w:p w:rsidR="00265915" w:rsidRDefault="00265915">
      <w:pPr>
        <w:jc w:val="center"/>
        <w:rPr>
          <w:sz w:val="72"/>
          <w:szCs w:val="72"/>
        </w:rPr>
      </w:pPr>
    </w:p>
    <w:p w:rsidR="00265915" w:rsidRDefault="00D23F2A">
      <w:pPr>
        <w:jc w:val="center"/>
        <w:rPr>
          <w:sz w:val="72"/>
          <w:szCs w:val="72"/>
        </w:rPr>
      </w:pPr>
      <w:r>
        <w:rPr>
          <w:rFonts w:hint="eastAsia"/>
          <w:sz w:val="72"/>
          <w:szCs w:val="72"/>
        </w:rPr>
        <w:t>第二部分</w:t>
      </w:r>
    </w:p>
    <w:p w:rsidR="00265915" w:rsidRDefault="00265915">
      <w:pPr>
        <w:jc w:val="center"/>
        <w:rPr>
          <w:sz w:val="72"/>
          <w:szCs w:val="72"/>
        </w:rPr>
      </w:pPr>
    </w:p>
    <w:p w:rsidR="00265915" w:rsidRDefault="00D23F2A">
      <w:pPr>
        <w:jc w:val="center"/>
        <w:rPr>
          <w:sz w:val="72"/>
          <w:szCs w:val="72"/>
        </w:rPr>
      </w:pPr>
      <w:r>
        <w:rPr>
          <w:rFonts w:hint="eastAsia"/>
          <w:sz w:val="72"/>
          <w:szCs w:val="72"/>
        </w:rPr>
        <w:t>部门决算表</w:t>
      </w:r>
    </w:p>
    <w:p w:rsidR="00265915" w:rsidRDefault="00265915">
      <w:pPr>
        <w:jc w:val="center"/>
        <w:rPr>
          <w:sz w:val="72"/>
          <w:szCs w:val="72"/>
        </w:rPr>
      </w:pPr>
    </w:p>
    <w:p w:rsidR="00265915" w:rsidRDefault="00265915">
      <w:pPr>
        <w:jc w:val="center"/>
        <w:rPr>
          <w:sz w:val="72"/>
          <w:szCs w:val="72"/>
        </w:rPr>
      </w:pPr>
    </w:p>
    <w:p w:rsidR="00265915" w:rsidRDefault="00265915">
      <w:pPr>
        <w:jc w:val="center"/>
        <w:rPr>
          <w:sz w:val="72"/>
          <w:szCs w:val="72"/>
        </w:rPr>
      </w:pPr>
    </w:p>
    <w:p w:rsidR="00265915" w:rsidRDefault="00265915">
      <w:pPr>
        <w:jc w:val="center"/>
        <w:rPr>
          <w:sz w:val="72"/>
          <w:szCs w:val="72"/>
        </w:rPr>
      </w:pPr>
    </w:p>
    <w:p w:rsidR="00265915" w:rsidRDefault="00265915">
      <w:pPr>
        <w:jc w:val="center"/>
        <w:rPr>
          <w:sz w:val="72"/>
          <w:szCs w:val="72"/>
        </w:rPr>
      </w:pPr>
    </w:p>
    <w:p w:rsidR="00265915" w:rsidRDefault="00265915">
      <w:pPr>
        <w:jc w:val="center"/>
        <w:rPr>
          <w:sz w:val="72"/>
          <w:szCs w:val="72"/>
        </w:rPr>
      </w:pPr>
    </w:p>
    <w:p w:rsidR="00265915" w:rsidRDefault="00265915">
      <w:pPr>
        <w:jc w:val="left"/>
        <w:rPr>
          <w:sz w:val="32"/>
          <w:szCs w:val="32"/>
        </w:rPr>
      </w:pPr>
    </w:p>
    <w:p w:rsidR="00265915" w:rsidRDefault="00265915">
      <w:pPr>
        <w:jc w:val="left"/>
        <w:rPr>
          <w:rFonts w:asciiTheme="minorEastAsia" w:hAnsiTheme="minorEastAsia"/>
          <w:sz w:val="32"/>
          <w:szCs w:val="32"/>
        </w:rPr>
        <w:sectPr w:rsidR="00265915">
          <w:pgSz w:w="11906" w:h="16838"/>
          <w:pgMar w:top="720" w:right="720" w:bottom="720" w:left="720" w:header="851" w:footer="992" w:gutter="0"/>
          <w:cols w:space="425"/>
          <w:docGrid w:type="lines" w:linePitch="312"/>
        </w:sectPr>
      </w:pPr>
    </w:p>
    <w:p w:rsidR="00265915" w:rsidRDefault="00D23F2A">
      <w:pPr>
        <w:widowControl/>
        <w:jc w:val="center"/>
        <w:rPr>
          <w:rFonts w:ascii="Times New Roman" w:eastAsia="黑体" w:hAnsi="Times New Roman" w:cs="Times New Roman"/>
          <w:bCs/>
          <w:kern w:val="0"/>
          <w:sz w:val="32"/>
          <w:szCs w:val="32"/>
        </w:rPr>
      </w:pPr>
      <w:r>
        <w:rPr>
          <w:rFonts w:ascii="华文中宋" w:eastAsia="华文中宋" w:hAnsi="华文中宋" w:cs="宋体" w:hint="eastAsia"/>
          <w:color w:val="000000"/>
          <w:kern w:val="0"/>
          <w:sz w:val="32"/>
          <w:szCs w:val="32"/>
        </w:rPr>
        <w:lastRenderedPageBreak/>
        <w:t>收入支出决算总表</w:t>
      </w:r>
    </w:p>
    <w:tbl>
      <w:tblPr>
        <w:tblW w:w="14080" w:type="dxa"/>
        <w:jc w:val="center"/>
        <w:tblInd w:w="674" w:type="dxa"/>
        <w:tblLayout w:type="fixed"/>
        <w:tblCellMar>
          <w:left w:w="0" w:type="dxa"/>
          <w:right w:w="0" w:type="dxa"/>
        </w:tblCellMar>
        <w:tblLook w:val="04A0" w:firstRow="1" w:lastRow="0" w:firstColumn="1" w:lastColumn="0" w:noHBand="0" w:noVBand="1"/>
      </w:tblPr>
      <w:tblGrid>
        <w:gridCol w:w="4200"/>
        <w:gridCol w:w="580"/>
        <w:gridCol w:w="2260"/>
        <w:gridCol w:w="4200"/>
        <w:gridCol w:w="580"/>
        <w:gridCol w:w="2260"/>
      </w:tblGrid>
      <w:tr w:rsidR="00265915">
        <w:trPr>
          <w:trHeight w:val="300"/>
          <w:jc w:val="center"/>
        </w:trPr>
        <w:tc>
          <w:tcPr>
            <w:tcW w:w="420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部门：湖南省体育局</w:t>
            </w:r>
          </w:p>
        </w:tc>
        <w:tc>
          <w:tcPr>
            <w:tcW w:w="58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226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2021年度</w:t>
            </w:r>
          </w:p>
        </w:tc>
        <w:tc>
          <w:tcPr>
            <w:tcW w:w="420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58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2260" w:type="dxa"/>
            <w:tcBorders>
              <w:top w:val="nil"/>
              <w:left w:val="nil"/>
              <w:bottom w:val="single" w:sz="4" w:space="0" w:color="808080"/>
              <w:right w:val="single" w:sz="4" w:space="0" w:color="80808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金额单位：万元</w:t>
            </w:r>
          </w:p>
        </w:tc>
      </w:tr>
      <w:tr w:rsidR="00265915">
        <w:trPr>
          <w:trHeight w:val="300"/>
          <w:jc w:val="center"/>
        </w:trPr>
        <w:tc>
          <w:tcPr>
            <w:tcW w:w="70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收入</w:t>
            </w:r>
          </w:p>
        </w:tc>
        <w:tc>
          <w:tcPr>
            <w:tcW w:w="704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支出</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项目</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行次</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金额</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项目</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行次</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金额</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栏次</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栏次</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一、一般公共预算财政拨款收入</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44,328.30</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一、一般公共服务支出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32</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330.65</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二、政府性基金预算财政拨款收入</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15,300.47</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二、外交支出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33</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三、国有资本经营预算财政拨款收入</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三、国防支出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34</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四、上级补助收入</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四、公共安全支出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35</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五、事业收入</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2,899.67</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五、教育支出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36</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8,937.02</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六、经营收入</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80.44</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六、科学技术支出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37</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七、附属单位上缴收入</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七、文化旅游体育与传媒支出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38</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32,975.30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八、其他收入</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45.01</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八、社会保障和就业支出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39</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1,827.56</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九、卫生健康支出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40</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1,877.53</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十、节能环保支出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41</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11</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十一、城乡社区支出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42</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十二、农林水支出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43</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13</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十三、交通运输支出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44</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14</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十四、资源勘探工业信息等支出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45</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15</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十五、商业服务业等支出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46</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16</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十六、金融支出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47</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17</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十七、援助其他地区支出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48</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18</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十八、自然资源海洋气象等支出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49</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19</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十九、住房保障支出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50</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1,565.12</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20</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二十、粮油物资储备支出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51</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21</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二十一、国有资本经营预算支出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52</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22</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二十二、灾害防治及应急管理支出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53</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23</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二十三、其他支出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54</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17,286.50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24</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二十四、债务还本支出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55</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25</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二十五、债务付息支出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56</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26</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二十六、抗</w:t>
            </w:r>
            <w:proofErr w:type="gramStart"/>
            <w:r>
              <w:rPr>
                <w:rFonts w:ascii="宋体" w:eastAsia="宋体" w:hAnsi="宋体" w:cs="宋体" w:hint="eastAsia"/>
                <w:kern w:val="0"/>
                <w:sz w:val="20"/>
                <w:szCs w:val="20"/>
                <w:lang w:bidi="ar"/>
              </w:rPr>
              <w:t>疫</w:t>
            </w:r>
            <w:proofErr w:type="gramEnd"/>
            <w:r>
              <w:rPr>
                <w:rFonts w:ascii="宋体" w:eastAsia="宋体" w:hAnsi="宋体" w:cs="宋体" w:hint="eastAsia"/>
                <w:kern w:val="0"/>
                <w:sz w:val="20"/>
                <w:szCs w:val="20"/>
                <w:lang w:bidi="ar"/>
              </w:rPr>
              <w:t>特别国债安排的支出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57</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lastRenderedPageBreak/>
              <w:t>本年收入合计</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27</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62,653.90</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本年支出合计</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58</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64,829.67</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使用非财政拨款结余</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28</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200.06</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结余分配</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59</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121.50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年初结转和结余</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29</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9,809.72</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年末结转和结余</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60</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7,712.50</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30</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61</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r>
      <w:tr w:rsidR="00265915">
        <w:trPr>
          <w:trHeight w:val="300"/>
          <w:jc w:val="center"/>
        </w:trPr>
        <w:tc>
          <w:tcPr>
            <w:tcW w:w="42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总计</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31</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72,663.67</w:t>
            </w:r>
          </w:p>
        </w:tc>
        <w:tc>
          <w:tcPr>
            <w:tcW w:w="42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总计</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62</w:t>
            </w:r>
          </w:p>
        </w:tc>
        <w:tc>
          <w:tcPr>
            <w:tcW w:w="22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72,663.67</w:t>
            </w:r>
          </w:p>
        </w:tc>
      </w:tr>
      <w:tr w:rsidR="00265915">
        <w:trPr>
          <w:trHeight w:val="300"/>
          <w:jc w:val="center"/>
        </w:trPr>
        <w:tc>
          <w:tcPr>
            <w:tcW w:w="14080" w:type="dxa"/>
            <w:gridSpan w:val="6"/>
            <w:tcBorders>
              <w:top w:val="nil"/>
              <w:left w:val="nil"/>
              <w:bottom w:val="nil"/>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注：1.本表反映部门本年度的总收支和年末结转结余情况。</w:t>
            </w:r>
          </w:p>
        </w:tc>
      </w:tr>
      <w:tr w:rsidR="00265915">
        <w:trPr>
          <w:trHeight w:val="300"/>
          <w:jc w:val="center"/>
        </w:trPr>
        <w:tc>
          <w:tcPr>
            <w:tcW w:w="14080" w:type="dxa"/>
            <w:gridSpan w:val="6"/>
            <w:tcBorders>
              <w:top w:val="nil"/>
              <w:left w:val="nil"/>
              <w:bottom w:val="nil"/>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2.本套报表金额单位转换时可能存在尾数误差。</w:t>
            </w:r>
          </w:p>
        </w:tc>
      </w:tr>
    </w:tbl>
    <w:p w:rsidR="00265915" w:rsidRDefault="00265915">
      <w:pPr>
        <w:widowControl/>
        <w:jc w:val="left"/>
        <w:rPr>
          <w:rFonts w:ascii="Times New Roman" w:eastAsia="黑体" w:hAnsi="Times New Roman" w:cs="Times New Roman"/>
          <w:bCs/>
          <w:kern w:val="0"/>
          <w:sz w:val="32"/>
          <w:szCs w:val="32"/>
        </w:rPr>
      </w:pPr>
    </w:p>
    <w:p w:rsidR="00265915" w:rsidRDefault="00265915">
      <w:pPr>
        <w:widowControl/>
        <w:jc w:val="left"/>
        <w:rPr>
          <w:rFonts w:ascii="Times New Roman" w:eastAsia="黑体" w:hAnsi="Times New Roman" w:cs="Times New Roman"/>
          <w:bCs/>
          <w:kern w:val="0"/>
          <w:sz w:val="32"/>
          <w:szCs w:val="32"/>
        </w:rPr>
      </w:pPr>
    </w:p>
    <w:p w:rsidR="00265915" w:rsidRDefault="00265915">
      <w:pPr>
        <w:widowControl/>
        <w:jc w:val="left"/>
        <w:rPr>
          <w:rFonts w:ascii="Times New Roman" w:eastAsia="黑体" w:hAnsi="Times New Roman" w:cs="Times New Roman"/>
          <w:bCs/>
          <w:kern w:val="0"/>
          <w:sz w:val="32"/>
          <w:szCs w:val="32"/>
        </w:rPr>
      </w:pPr>
    </w:p>
    <w:p w:rsidR="00265915" w:rsidRDefault="00265915">
      <w:pPr>
        <w:widowControl/>
        <w:jc w:val="left"/>
        <w:rPr>
          <w:rFonts w:ascii="Times New Roman" w:eastAsia="黑体" w:hAnsi="Times New Roman" w:cs="Times New Roman"/>
          <w:bCs/>
          <w:kern w:val="0"/>
          <w:sz w:val="32"/>
          <w:szCs w:val="32"/>
        </w:rPr>
      </w:pPr>
    </w:p>
    <w:p w:rsidR="00265915" w:rsidRDefault="00265915">
      <w:pPr>
        <w:widowControl/>
        <w:jc w:val="left"/>
        <w:rPr>
          <w:rFonts w:ascii="Times New Roman" w:eastAsia="黑体" w:hAnsi="Times New Roman" w:cs="Times New Roman"/>
          <w:bCs/>
          <w:kern w:val="0"/>
          <w:sz w:val="32"/>
          <w:szCs w:val="32"/>
        </w:rPr>
      </w:pPr>
    </w:p>
    <w:p w:rsidR="00265915" w:rsidRDefault="00265915">
      <w:pPr>
        <w:widowControl/>
        <w:jc w:val="left"/>
        <w:rPr>
          <w:rFonts w:ascii="Times New Roman" w:eastAsia="黑体" w:hAnsi="Times New Roman" w:cs="Times New Roman"/>
          <w:bCs/>
          <w:kern w:val="0"/>
          <w:sz w:val="32"/>
          <w:szCs w:val="32"/>
        </w:rPr>
      </w:pPr>
    </w:p>
    <w:p w:rsidR="00265915" w:rsidRDefault="00265915">
      <w:pPr>
        <w:widowControl/>
        <w:jc w:val="left"/>
        <w:rPr>
          <w:rFonts w:ascii="Times New Roman" w:eastAsia="黑体" w:hAnsi="Times New Roman" w:cs="Times New Roman"/>
          <w:bCs/>
          <w:kern w:val="0"/>
          <w:sz w:val="32"/>
          <w:szCs w:val="32"/>
        </w:rPr>
      </w:pPr>
    </w:p>
    <w:p w:rsidR="00265915" w:rsidRDefault="00265915">
      <w:pPr>
        <w:widowControl/>
        <w:jc w:val="left"/>
        <w:rPr>
          <w:rFonts w:ascii="Times New Roman" w:eastAsia="黑体" w:hAnsi="Times New Roman" w:cs="Times New Roman"/>
          <w:bCs/>
          <w:kern w:val="0"/>
          <w:sz w:val="32"/>
          <w:szCs w:val="32"/>
        </w:rPr>
      </w:pPr>
    </w:p>
    <w:p w:rsidR="00265915" w:rsidRDefault="00265915">
      <w:pPr>
        <w:widowControl/>
        <w:jc w:val="left"/>
        <w:rPr>
          <w:rFonts w:ascii="Times New Roman" w:eastAsia="黑体" w:hAnsi="Times New Roman" w:cs="Times New Roman"/>
          <w:bCs/>
          <w:kern w:val="0"/>
          <w:sz w:val="32"/>
          <w:szCs w:val="32"/>
        </w:rPr>
      </w:pPr>
    </w:p>
    <w:p w:rsidR="00265915" w:rsidRDefault="00265915">
      <w:pPr>
        <w:widowControl/>
        <w:jc w:val="left"/>
        <w:rPr>
          <w:rFonts w:ascii="Times New Roman" w:eastAsia="黑体" w:hAnsi="Times New Roman" w:cs="Times New Roman"/>
          <w:bCs/>
          <w:kern w:val="0"/>
          <w:sz w:val="32"/>
          <w:szCs w:val="32"/>
        </w:rPr>
      </w:pPr>
    </w:p>
    <w:p w:rsidR="00265915" w:rsidRDefault="00265915">
      <w:pPr>
        <w:widowControl/>
        <w:jc w:val="left"/>
        <w:rPr>
          <w:rFonts w:ascii="Times New Roman" w:eastAsia="黑体" w:hAnsi="Times New Roman" w:cs="Times New Roman"/>
          <w:bCs/>
          <w:kern w:val="0"/>
          <w:sz w:val="32"/>
          <w:szCs w:val="32"/>
        </w:rPr>
      </w:pPr>
    </w:p>
    <w:p w:rsidR="00265915" w:rsidRDefault="00265915">
      <w:pPr>
        <w:widowControl/>
        <w:jc w:val="left"/>
        <w:rPr>
          <w:rFonts w:ascii="Times New Roman" w:eastAsia="黑体" w:hAnsi="Times New Roman" w:cs="Times New Roman"/>
          <w:bCs/>
          <w:kern w:val="0"/>
          <w:sz w:val="32"/>
          <w:szCs w:val="32"/>
        </w:rPr>
      </w:pPr>
    </w:p>
    <w:p w:rsidR="00265915" w:rsidRDefault="00D23F2A">
      <w:pPr>
        <w:widowControl/>
        <w:jc w:val="center"/>
        <w:rPr>
          <w:rFonts w:ascii="Times New Roman" w:eastAsia="黑体" w:hAnsi="Times New Roman" w:cs="Times New Roman"/>
          <w:bCs/>
          <w:kern w:val="0"/>
          <w:sz w:val="32"/>
          <w:szCs w:val="32"/>
        </w:rPr>
      </w:pPr>
      <w:r>
        <w:rPr>
          <w:rFonts w:ascii="华文中宋" w:eastAsia="华文中宋" w:hAnsi="华文中宋" w:hint="eastAsia"/>
          <w:color w:val="000000"/>
          <w:sz w:val="32"/>
          <w:szCs w:val="32"/>
        </w:rPr>
        <w:t>收入决算表</w:t>
      </w:r>
    </w:p>
    <w:tbl>
      <w:tblPr>
        <w:tblW w:w="17540" w:type="dxa"/>
        <w:tblLayout w:type="fixed"/>
        <w:tblCellMar>
          <w:left w:w="0" w:type="dxa"/>
          <w:right w:w="0" w:type="dxa"/>
        </w:tblCellMar>
        <w:tblLook w:val="04A0" w:firstRow="1" w:lastRow="0" w:firstColumn="1" w:lastColumn="0" w:noHBand="0" w:noVBand="1"/>
      </w:tblPr>
      <w:tblGrid>
        <w:gridCol w:w="1020"/>
        <w:gridCol w:w="3153"/>
        <w:gridCol w:w="1530"/>
        <w:gridCol w:w="1530"/>
        <w:gridCol w:w="1530"/>
        <w:gridCol w:w="1530"/>
        <w:gridCol w:w="1530"/>
        <w:gridCol w:w="1716"/>
        <w:gridCol w:w="1350"/>
        <w:gridCol w:w="2651"/>
      </w:tblGrid>
      <w:tr w:rsidR="00265915">
        <w:trPr>
          <w:gridAfter w:val="1"/>
          <w:wAfter w:w="2651" w:type="dxa"/>
          <w:trHeight w:val="300"/>
        </w:trPr>
        <w:tc>
          <w:tcPr>
            <w:tcW w:w="14889" w:type="dxa"/>
            <w:gridSpan w:val="9"/>
            <w:tcBorders>
              <w:top w:val="nil"/>
              <w:left w:val="nil"/>
              <w:bottom w:val="single" w:sz="4" w:space="0" w:color="80808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部门：湖南省体育局                                   2021年度                                                金额单位：万元</w:t>
            </w:r>
          </w:p>
        </w:tc>
      </w:tr>
      <w:tr w:rsidR="00265915">
        <w:trPr>
          <w:gridAfter w:val="1"/>
          <w:wAfter w:w="2651" w:type="dxa"/>
          <w:trHeight w:val="300"/>
        </w:trPr>
        <w:tc>
          <w:tcPr>
            <w:tcW w:w="4173"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项目</w:t>
            </w:r>
          </w:p>
        </w:tc>
        <w:tc>
          <w:tcPr>
            <w:tcW w:w="1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本年收入合计</w:t>
            </w:r>
          </w:p>
        </w:tc>
        <w:tc>
          <w:tcPr>
            <w:tcW w:w="1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财政拨款收入</w:t>
            </w:r>
          </w:p>
        </w:tc>
        <w:tc>
          <w:tcPr>
            <w:tcW w:w="1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上级补助收入</w:t>
            </w:r>
          </w:p>
        </w:tc>
        <w:tc>
          <w:tcPr>
            <w:tcW w:w="1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事业收入</w:t>
            </w:r>
          </w:p>
        </w:tc>
        <w:tc>
          <w:tcPr>
            <w:tcW w:w="1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经营收入</w:t>
            </w:r>
          </w:p>
        </w:tc>
        <w:tc>
          <w:tcPr>
            <w:tcW w:w="171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附属单位上缴收入</w:t>
            </w:r>
          </w:p>
        </w:tc>
        <w:tc>
          <w:tcPr>
            <w:tcW w:w="13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其他收入</w:t>
            </w:r>
          </w:p>
        </w:tc>
      </w:tr>
      <w:tr w:rsidR="00265915">
        <w:trPr>
          <w:gridAfter w:val="1"/>
          <w:wAfter w:w="2651" w:type="dxa"/>
          <w:trHeight w:val="312"/>
        </w:trPr>
        <w:tc>
          <w:tcPr>
            <w:tcW w:w="102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功能分类科目编码</w:t>
            </w:r>
          </w:p>
        </w:tc>
        <w:tc>
          <w:tcPr>
            <w:tcW w:w="315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科目名称</w:t>
            </w: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7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gridAfter w:val="1"/>
          <w:wAfter w:w="2651" w:type="dxa"/>
          <w:trHeight w:val="312"/>
        </w:trPr>
        <w:tc>
          <w:tcPr>
            <w:tcW w:w="102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315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7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gridAfter w:val="1"/>
          <w:wAfter w:w="2651" w:type="dxa"/>
          <w:trHeight w:val="312"/>
        </w:trPr>
        <w:tc>
          <w:tcPr>
            <w:tcW w:w="102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315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7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gridAfter w:val="1"/>
          <w:wAfter w:w="2651" w:type="dxa"/>
          <w:trHeight w:val="300"/>
        </w:trPr>
        <w:tc>
          <w:tcPr>
            <w:tcW w:w="4173"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栏次</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r>
      <w:tr w:rsidR="00265915">
        <w:trPr>
          <w:gridAfter w:val="1"/>
          <w:wAfter w:w="2651" w:type="dxa"/>
          <w:trHeight w:val="344"/>
        </w:trPr>
        <w:tc>
          <w:tcPr>
            <w:tcW w:w="4173"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合计</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62,653.90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59,628.77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2,899.67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80.44</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45.01</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201</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一般公共服务支出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126.16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126.16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20199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其他一般公共服务支出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126.16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126.16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2019999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其他一般公共服务支出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126.16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126.16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205</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教育支出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8,725.32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6,387.11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2,316.43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21.78</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20503</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职业教育</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8,715.32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6,377.11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2,316.43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21.78</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2050302</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中等职业教育</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143.30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143.30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2050305</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高等职业教育</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8,572.02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6,233.81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2,316.43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21.78</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20508</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进修及培训</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2050803</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培训支出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206</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科学技术支出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20606</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社会科学</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2060699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其他社会科学支出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207</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文化旅游体育与传媒支出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33,158.38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33,055.01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80.44</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22.93</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20703</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体育</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28,684.47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28,581.10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80.44</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22.93</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2070301</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行政运行</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2,070.33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2,069.10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1.23</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2070302</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一般行政管理事务</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395.58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395.58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2070303</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机关服务</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766.30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766.30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2070304</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运动项目管理</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13,393.17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13,393.17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2070305</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体育竞赛</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3,694.20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3,694.20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2070307</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体育场馆</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2,352.66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2,331.80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20.86</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体育交流与合作</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165.85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165.85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2070399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其他体育支出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5,846.37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5,765.10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80.44</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0.83</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20799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其他文化旅游体育与传媒支出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4,473.91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4,473.91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2079999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其他文化旅游体育与传媒支出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4,473.91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4,473.91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lastRenderedPageBreak/>
              <w:t>208</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社会保障和就业支出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1,844.86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1,813.78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31.08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20805</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行政事业单位养老支出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1,829.56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1,798.48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31.08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2080501</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行政单位离退休</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117.00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117.00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2080502</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事业单位离退休</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13.48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13.48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2080505</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机关事业单位基本养老保险缴费支出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1,635.18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1,604.10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31.08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2080506</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机关事业单位职业年金缴费支出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63.90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63.90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20899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其他社会保障和就业支出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2089999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其他社会保障和就业支出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15.30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15.30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卫生健康支出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1,893.48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1,370.61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522.56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0.31</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21002</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公立医院</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842.73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384.60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457.82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0.31</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2100208</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其他专科医院</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842.73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384.60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457.82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0.31</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21011</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行政事业单位医疗</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1,049.95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985.21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64.74</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2101101</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行政单位医疗</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136.20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136.20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2101102</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事业单位医疗</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913.75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849.01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64.74</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21099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其他卫生健康支出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0.80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0.80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2109999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其他卫生健康支出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0.80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0.80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211</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节能环保支出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21110</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能源节约利用</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2111001</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能源节约利用</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221</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住房保障支出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1,573.43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1,543.83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29.60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22102</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住房改革支出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1,573.43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1,543.83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29.60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2210201</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住房公积金</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1,541.68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1,512.08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29.60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2210203</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购房补贴</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31.75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31.75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229</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15,300.47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15,300.47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22960</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彩票公益金安排的支出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15,300.47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15,300.47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2651" w:type="dxa"/>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2296003</w:t>
            </w:r>
          </w:p>
        </w:tc>
        <w:tc>
          <w:tcPr>
            <w:tcW w:w="3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用于体育事业的彩票公益金支出</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15,300.47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15,300.47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7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3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7540" w:type="dxa"/>
            <w:gridSpan w:val="10"/>
            <w:tcBorders>
              <w:top w:val="nil"/>
              <w:left w:val="nil"/>
              <w:bottom w:val="nil"/>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注：本表反映部门本年度取得的各项收入情况。</w:t>
            </w:r>
          </w:p>
        </w:tc>
      </w:tr>
    </w:tbl>
    <w:p w:rsidR="00265915" w:rsidRDefault="00D23F2A">
      <w:pPr>
        <w:widowControl/>
        <w:jc w:val="center"/>
        <w:rPr>
          <w:rFonts w:ascii="Times New Roman" w:eastAsia="黑体" w:hAnsi="Times New Roman" w:cs="Times New Roman"/>
          <w:bCs/>
          <w:kern w:val="0"/>
          <w:sz w:val="32"/>
          <w:szCs w:val="32"/>
        </w:rPr>
      </w:pPr>
      <w:r>
        <w:rPr>
          <w:rFonts w:ascii="华文中宋" w:eastAsia="华文中宋" w:hAnsi="华文中宋" w:cs="宋体" w:hint="eastAsia"/>
          <w:color w:val="000000"/>
          <w:kern w:val="0"/>
          <w:sz w:val="32"/>
          <w:szCs w:val="32"/>
        </w:rPr>
        <w:t>支出决算表</w:t>
      </w:r>
    </w:p>
    <w:tbl>
      <w:tblPr>
        <w:tblW w:w="15389" w:type="dxa"/>
        <w:tblLayout w:type="fixed"/>
        <w:tblCellMar>
          <w:left w:w="0" w:type="dxa"/>
          <w:right w:w="0" w:type="dxa"/>
        </w:tblCellMar>
        <w:tblLook w:val="04A0" w:firstRow="1" w:lastRow="0" w:firstColumn="1" w:lastColumn="0" w:noHBand="0" w:noVBand="1"/>
      </w:tblPr>
      <w:tblGrid>
        <w:gridCol w:w="1020"/>
        <w:gridCol w:w="3920"/>
        <w:gridCol w:w="1549"/>
        <w:gridCol w:w="1784"/>
        <w:gridCol w:w="1883"/>
        <w:gridCol w:w="1650"/>
        <w:gridCol w:w="1633"/>
        <w:gridCol w:w="1950"/>
      </w:tblGrid>
      <w:tr w:rsidR="00265915">
        <w:trPr>
          <w:trHeight w:val="300"/>
        </w:trPr>
        <w:tc>
          <w:tcPr>
            <w:tcW w:w="4940" w:type="dxa"/>
            <w:gridSpan w:val="2"/>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部门：湖南省体育局</w:t>
            </w:r>
          </w:p>
        </w:tc>
        <w:tc>
          <w:tcPr>
            <w:tcW w:w="1549"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2021年度</w:t>
            </w:r>
          </w:p>
        </w:tc>
        <w:tc>
          <w:tcPr>
            <w:tcW w:w="1784"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883"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65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633"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950" w:type="dxa"/>
            <w:tcBorders>
              <w:top w:val="nil"/>
              <w:left w:val="nil"/>
              <w:bottom w:val="single" w:sz="4" w:space="0" w:color="808080"/>
              <w:right w:val="single" w:sz="4" w:space="0" w:color="80808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金额单位：万元</w:t>
            </w:r>
          </w:p>
        </w:tc>
      </w:tr>
      <w:tr w:rsidR="00265915">
        <w:trPr>
          <w:trHeight w:val="300"/>
        </w:trPr>
        <w:tc>
          <w:tcPr>
            <w:tcW w:w="494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项目</w:t>
            </w:r>
          </w:p>
        </w:tc>
        <w:tc>
          <w:tcPr>
            <w:tcW w:w="154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本年支出合计</w:t>
            </w:r>
          </w:p>
        </w:tc>
        <w:tc>
          <w:tcPr>
            <w:tcW w:w="178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基本支出</w:t>
            </w:r>
          </w:p>
        </w:tc>
        <w:tc>
          <w:tcPr>
            <w:tcW w:w="18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项目支出</w:t>
            </w:r>
          </w:p>
        </w:tc>
        <w:tc>
          <w:tcPr>
            <w:tcW w:w="16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上缴上级支出</w:t>
            </w:r>
          </w:p>
        </w:tc>
        <w:tc>
          <w:tcPr>
            <w:tcW w:w="163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经营支出</w:t>
            </w:r>
          </w:p>
        </w:tc>
        <w:tc>
          <w:tcPr>
            <w:tcW w:w="19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对附属单位补助支出</w:t>
            </w:r>
          </w:p>
        </w:tc>
      </w:tr>
      <w:tr w:rsidR="00265915">
        <w:trPr>
          <w:trHeight w:val="312"/>
        </w:trPr>
        <w:tc>
          <w:tcPr>
            <w:tcW w:w="102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功能分类科目编码</w:t>
            </w:r>
          </w:p>
        </w:tc>
        <w:tc>
          <w:tcPr>
            <w:tcW w:w="39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科目名称</w:t>
            </w:r>
          </w:p>
        </w:tc>
        <w:tc>
          <w:tcPr>
            <w:tcW w:w="154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78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8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3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9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trHeight w:val="312"/>
        </w:trPr>
        <w:tc>
          <w:tcPr>
            <w:tcW w:w="102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3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4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78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8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3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9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trHeight w:val="312"/>
        </w:trPr>
        <w:tc>
          <w:tcPr>
            <w:tcW w:w="102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3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4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78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8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3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9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trHeight w:val="300"/>
        </w:trPr>
        <w:tc>
          <w:tcPr>
            <w:tcW w:w="494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栏次</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r>
      <w:tr w:rsidR="00265915">
        <w:trPr>
          <w:trHeight w:val="300"/>
        </w:trPr>
        <w:tc>
          <w:tcPr>
            <w:tcW w:w="494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合计</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64,829.67</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28,795.71</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35,998.91</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35.05</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201</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一般公共服务支出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330.65</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330.65</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20104</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发展与改革事务</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210.00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210.00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2010499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其他发展与改革事务支出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210.00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210.00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20199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其他一般公共服务支出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120.65</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120.65</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2019999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其他一般公共服务支出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120.65</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120.65</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205</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教育支出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8,937.02</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6,865.30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2,071.72</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20503</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职业教育</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8,936.54</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6,864.82</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2,071.72</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2050302</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中等职业教育</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101.20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101.20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2050305</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高等职业教育</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8,835.34</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6,864.82</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1,970.52</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20508</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进修及培训</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0.48</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0.48</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2050803</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培训支出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0.48</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0.48</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207</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文化旅游体育与传媒支出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32,975.30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16,812.78</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16,127.47</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35.05</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20703</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体育</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28,102.61</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16,812.78</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11,254.78</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35.05</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2070301</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行政运行</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1,651.78</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1,619.59</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32.19</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2070302</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一般行政管理事务</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265.77</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265.77</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2070303</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机关服务</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692.47</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179.07</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513.40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2070304</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运动项目管理</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13,297.84</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12,947.82</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350.02</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2070305</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体育竞赛</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3,642.95</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3,642.95</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2070307</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体育场馆</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2,346.35</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1,637.25</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709.10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体育交流与合作</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140.49</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55.09</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85.40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2070399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其他体育支出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6,064.95</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373.95</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5,655.95</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35.05</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20799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其他文化旅游体育与传媒支出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4,872.69</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4,872.69</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2079999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其他文化旅游体育与传媒支出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4,872.69</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4,872.69</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社会保障和就业支出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1,827.56</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1,819.78</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7.78</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20805</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行政事业单位养老支出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1,805.66</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1,805.66</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2080501</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行政单位离退休</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102.56</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102.56</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2080502</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事业单位离退休</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13.48</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13.48</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2080505</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机关事业单位基本养老保险缴费支出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1,625.86</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1,625.86</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2080506</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机关事业单位职业年金缴费支出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63.75</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63.75</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20807</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就业补助</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7.70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7.70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2080701</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就业创业服务补贴</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7.70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7.70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20899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其他社会保障和就业支出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14.20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14.12</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0.08</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2089999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其他社会保障和就业支出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14.20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14.12</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0.08</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卫生健康支出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1,877.53</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1,732.75</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144.78</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21002</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公立医院</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830.36</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685.58</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144.78</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2100208</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其他专科医院</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830.36</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685.58</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144.78</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21011</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行政事业单位医疗</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1,046.37</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1,046.37</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2101101</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行政单位医疗</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136.20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136.20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2101102</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事业单位医疗</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910.17</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910.17</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21099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其他卫生健康支出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0.80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0.80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2109999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其他卫生健康支出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0.80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0.80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211</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节能环保支出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21110</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能源节约利用</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2111001</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能源节约利用</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30.00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221</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住房保障支出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1,565.12</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1,565.12</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22102</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住房改革支出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1,565.12</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1,565.12</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2210201</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住房公积金</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1,534.16</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1,534.16</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2210203</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购房补贴</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30.96</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30.96</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17,286.50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17,286.50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22960</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彩票公益金安排的支出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17,286.50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17,286.50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2296003</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用于体育事业的彩票公益金支出</w:t>
            </w:r>
          </w:p>
        </w:tc>
        <w:tc>
          <w:tcPr>
            <w:tcW w:w="1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17,286.50</w:t>
            </w:r>
          </w:p>
        </w:tc>
        <w:tc>
          <w:tcPr>
            <w:tcW w:w="17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8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17,286.50</w:t>
            </w:r>
          </w:p>
        </w:tc>
        <w:tc>
          <w:tcPr>
            <w:tcW w:w="16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9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trPr>
        <w:tc>
          <w:tcPr>
            <w:tcW w:w="15389" w:type="dxa"/>
            <w:gridSpan w:val="8"/>
            <w:tcBorders>
              <w:top w:val="nil"/>
              <w:left w:val="nil"/>
              <w:bottom w:val="nil"/>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注：本表反映部门本年度各项支出情况。</w:t>
            </w:r>
          </w:p>
        </w:tc>
      </w:tr>
    </w:tbl>
    <w:p w:rsidR="00265915" w:rsidRDefault="00265915">
      <w:pPr>
        <w:widowControl/>
        <w:rPr>
          <w:rFonts w:ascii="Times New Roman" w:eastAsia="方正小标宋_GBK" w:hAnsi="Times New Roman" w:cs="Times New Roman"/>
          <w:color w:val="000000"/>
          <w:kern w:val="0"/>
          <w:sz w:val="36"/>
          <w:szCs w:val="36"/>
        </w:rPr>
      </w:pPr>
    </w:p>
    <w:p w:rsidR="00265915" w:rsidRDefault="00D23F2A">
      <w:pPr>
        <w:widowControl/>
        <w:ind w:left="93"/>
        <w:jc w:val="center"/>
        <w:rPr>
          <w:rFonts w:ascii="Times New Roman" w:eastAsia="方正小标宋_GBK" w:hAnsi="Times New Roman" w:cs="Times New Roman"/>
          <w:color w:val="000000"/>
          <w:kern w:val="0"/>
          <w:sz w:val="36"/>
          <w:szCs w:val="21"/>
        </w:rPr>
      </w:pPr>
      <w:r>
        <w:rPr>
          <w:rFonts w:ascii="华文中宋" w:eastAsia="华文中宋" w:hAnsi="华文中宋" w:cs="宋体" w:hint="eastAsia"/>
          <w:color w:val="000000"/>
          <w:kern w:val="0"/>
          <w:sz w:val="32"/>
          <w:szCs w:val="32"/>
        </w:rPr>
        <w:t>财政拨款收入支出决算总表</w:t>
      </w:r>
    </w:p>
    <w:tbl>
      <w:tblPr>
        <w:tblW w:w="14807" w:type="dxa"/>
        <w:jc w:val="center"/>
        <w:tblInd w:w="556" w:type="dxa"/>
        <w:tblLayout w:type="fixed"/>
        <w:tblCellMar>
          <w:left w:w="0" w:type="dxa"/>
          <w:right w:w="0" w:type="dxa"/>
        </w:tblCellMar>
        <w:tblLook w:val="04A0" w:firstRow="1" w:lastRow="0" w:firstColumn="1" w:lastColumn="0" w:noHBand="0" w:noVBand="1"/>
      </w:tblPr>
      <w:tblGrid>
        <w:gridCol w:w="2724"/>
        <w:gridCol w:w="343"/>
        <w:gridCol w:w="237"/>
        <w:gridCol w:w="529"/>
        <w:gridCol w:w="1151"/>
        <w:gridCol w:w="3023"/>
        <w:gridCol w:w="580"/>
        <w:gridCol w:w="57"/>
        <w:gridCol w:w="1319"/>
        <w:gridCol w:w="941"/>
        <w:gridCol w:w="642"/>
        <w:gridCol w:w="1567"/>
        <w:gridCol w:w="1694"/>
      </w:tblGrid>
      <w:tr w:rsidR="00265915">
        <w:trPr>
          <w:trHeight w:val="300"/>
          <w:jc w:val="center"/>
        </w:trPr>
        <w:tc>
          <w:tcPr>
            <w:tcW w:w="2724"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部门：湖南省体育局</w:t>
            </w:r>
          </w:p>
        </w:tc>
        <w:tc>
          <w:tcPr>
            <w:tcW w:w="580" w:type="dxa"/>
            <w:gridSpan w:val="2"/>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680" w:type="dxa"/>
            <w:gridSpan w:val="2"/>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3660" w:type="dxa"/>
            <w:gridSpan w:val="3"/>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2260" w:type="dxa"/>
            <w:gridSpan w:val="2"/>
            <w:tcBorders>
              <w:top w:val="nil"/>
              <w:left w:val="nil"/>
              <w:bottom w:val="single" w:sz="4" w:space="0" w:color="808080"/>
            </w:tcBorders>
            <w:shd w:val="clear" w:color="auto" w:fill="auto"/>
            <w:tcMar>
              <w:top w:w="15" w:type="dxa"/>
              <w:left w:w="15" w:type="dxa"/>
              <w:right w:w="15" w:type="dxa"/>
            </w:tcMar>
            <w:vAlign w:val="center"/>
          </w:tcPr>
          <w:p w:rsidR="00265915" w:rsidRDefault="00D23F2A">
            <w:pPr>
              <w:widowControl/>
              <w:textAlignment w:val="center"/>
              <w:rPr>
                <w:rFonts w:ascii="宋体" w:eastAsia="宋体" w:hAnsi="宋体" w:cs="宋体"/>
                <w:sz w:val="18"/>
                <w:szCs w:val="18"/>
              </w:rPr>
            </w:pPr>
            <w:r>
              <w:rPr>
                <w:rFonts w:ascii="宋体" w:eastAsia="宋体" w:hAnsi="宋体" w:cs="宋体" w:hint="eastAsia"/>
                <w:color w:val="000000"/>
                <w:kern w:val="0"/>
                <w:sz w:val="22"/>
                <w:lang w:bidi="ar"/>
              </w:rPr>
              <w:t>2021年度</w:t>
            </w:r>
            <w:r>
              <w:rPr>
                <w:rFonts w:ascii="宋体" w:eastAsia="宋体" w:hAnsi="宋体" w:cs="宋体" w:hint="eastAsia"/>
                <w:kern w:val="0"/>
                <w:sz w:val="18"/>
                <w:szCs w:val="18"/>
                <w:lang w:bidi="ar"/>
              </w:rPr>
              <w:t xml:space="preserve">　</w:t>
            </w:r>
          </w:p>
        </w:tc>
        <w:tc>
          <w:tcPr>
            <w:tcW w:w="3903" w:type="dxa"/>
            <w:gridSpan w:val="3"/>
            <w:tcBorders>
              <w:top w:val="nil"/>
              <w:left w:val="nil"/>
              <w:bottom w:val="single" w:sz="4" w:space="0" w:color="80808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金额单位：万元</w:t>
            </w:r>
          </w:p>
        </w:tc>
      </w:tr>
      <w:tr w:rsidR="00265915">
        <w:trPr>
          <w:trHeight w:val="300"/>
          <w:jc w:val="center"/>
        </w:trPr>
        <w:tc>
          <w:tcPr>
            <w:tcW w:w="4984"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收     入</w:t>
            </w:r>
          </w:p>
        </w:tc>
        <w:tc>
          <w:tcPr>
            <w:tcW w:w="9823"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支     出</w:t>
            </w:r>
          </w:p>
        </w:tc>
      </w:tr>
      <w:tr w:rsidR="00265915">
        <w:trPr>
          <w:trHeight w:val="312"/>
          <w:jc w:val="center"/>
        </w:trPr>
        <w:tc>
          <w:tcPr>
            <w:tcW w:w="3067"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项目</w:t>
            </w:r>
          </w:p>
        </w:tc>
        <w:tc>
          <w:tcPr>
            <w:tcW w:w="766"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行次</w:t>
            </w:r>
          </w:p>
        </w:tc>
        <w:tc>
          <w:tcPr>
            <w:tcW w:w="115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金额</w:t>
            </w:r>
          </w:p>
        </w:tc>
        <w:tc>
          <w:tcPr>
            <w:tcW w:w="30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265915" w:rsidRDefault="00D23F2A">
            <w:pPr>
              <w:widowControl/>
              <w:jc w:val="left"/>
              <w:textAlignment w:val="bottom"/>
              <w:rPr>
                <w:rFonts w:ascii="宋体" w:eastAsia="宋体" w:hAnsi="宋体" w:cs="宋体"/>
                <w:sz w:val="20"/>
                <w:szCs w:val="20"/>
              </w:rPr>
            </w:pPr>
            <w:r>
              <w:rPr>
                <w:rFonts w:ascii="宋体" w:eastAsia="宋体" w:hAnsi="宋体" w:cs="宋体" w:hint="eastAsia"/>
                <w:kern w:val="0"/>
                <w:sz w:val="20"/>
                <w:szCs w:val="20"/>
                <w:lang w:bidi="ar"/>
              </w:rPr>
              <w:t>项目</w:t>
            </w:r>
          </w:p>
        </w:tc>
        <w:tc>
          <w:tcPr>
            <w:tcW w:w="58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行次</w:t>
            </w:r>
          </w:p>
        </w:tc>
        <w:tc>
          <w:tcPr>
            <w:tcW w:w="1376"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合计</w:t>
            </w:r>
          </w:p>
        </w:tc>
        <w:tc>
          <w:tcPr>
            <w:tcW w:w="1583"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一般公共预算财政拨款</w:t>
            </w:r>
          </w:p>
        </w:tc>
        <w:tc>
          <w:tcPr>
            <w:tcW w:w="156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政府性基金预算财政拨款</w:t>
            </w:r>
          </w:p>
        </w:tc>
        <w:tc>
          <w:tcPr>
            <w:tcW w:w="169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国有资本经营预算财政拨款</w:t>
            </w:r>
          </w:p>
        </w:tc>
      </w:tr>
      <w:tr w:rsidR="00265915">
        <w:trPr>
          <w:trHeight w:val="600"/>
          <w:jc w:val="center"/>
        </w:trPr>
        <w:tc>
          <w:tcPr>
            <w:tcW w:w="3067"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rPr>
                <w:rFonts w:ascii="宋体" w:eastAsia="宋体" w:hAnsi="宋体" w:cs="宋体"/>
                <w:sz w:val="20"/>
                <w:szCs w:val="20"/>
              </w:rPr>
            </w:pPr>
          </w:p>
        </w:tc>
        <w:tc>
          <w:tcPr>
            <w:tcW w:w="76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1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30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265915" w:rsidRDefault="00265915">
            <w:pPr>
              <w:rPr>
                <w:rFonts w:ascii="宋体" w:eastAsia="宋体" w:hAnsi="宋体" w:cs="宋体"/>
                <w:sz w:val="20"/>
                <w:szCs w:val="20"/>
              </w:rPr>
            </w:pPr>
          </w:p>
        </w:tc>
        <w:tc>
          <w:tcPr>
            <w:tcW w:w="5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37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8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56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9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栏次</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265915" w:rsidRDefault="00D23F2A">
            <w:pPr>
              <w:widowControl/>
              <w:jc w:val="left"/>
              <w:textAlignment w:val="bottom"/>
              <w:rPr>
                <w:rFonts w:ascii="宋体" w:eastAsia="宋体" w:hAnsi="宋体" w:cs="宋体"/>
                <w:sz w:val="20"/>
                <w:szCs w:val="20"/>
              </w:rPr>
            </w:pPr>
            <w:r>
              <w:rPr>
                <w:rFonts w:ascii="宋体" w:eastAsia="宋体" w:hAnsi="宋体" w:cs="宋体" w:hint="eastAsia"/>
                <w:kern w:val="0"/>
                <w:sz w:val="20"/>
                <w:szCs w:val="20"/>
                <w:lang w:bidi="ar"/>
              </w:rPr>
              <w:t>栏次</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一、一般公共预算财政拨款</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44,328.30</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一、一般公共服务支出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33</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330.65</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330.65</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二、政府性基金预算财政拨款</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15,300.47</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二、外交支出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34</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三、国有资本经营财政拨款</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三、国防支出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35</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四、公共安全支出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36</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五、教育支出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37</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6,594.02</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6,594.02</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六、科学技术支出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38</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七、文化旅游体育与传媒支出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39</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32,825.26</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32,825.26</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八、社会保障和就业支出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40</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1,796.47</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1,796.47</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九、卫生健康支出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41</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1,367.02</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1,367.02</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十、节能环保支出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42</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11</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十一、城乡社区支出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43</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十二、农林水支出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44</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13</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十三、交通运输支出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45</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14</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十四、资源勘探工业信息等支出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46</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15</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十五、商业服务业等支出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47</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16</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十六、金融支出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48</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17</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十七、援助其他地区支出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49</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18</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十八、自然资源海洋气象等支出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50</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19</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十九、住房保障支出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51</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1,535.52</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1,535.52</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20</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二十、粮油物资储备支出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52</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21</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二十一、国有资本经营预算支出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53</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22</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二十二、灾害防治及应急管理支出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54</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23</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二十三、其他支出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55</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17,286.50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17,286.50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24</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二十四、债务还本支出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56</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25</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二十五、债务付息支出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57</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26</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二十六、抗</w:t>
            </w:r>
            <w:proofErr w:type="gramStart"/>
            <w:r>
              <w:rPr>
                <w:rFonts w:ascii="宋体" w:eastAsia="宋体" w:hAnsi="宋体" w:cs="宋体" w:hint="eastAsia"/>
                <w:kern w:val="0"/>
                <w:sz w:val="20"/>
                <w:szCs w:val="20"/>
                <w:lang w:bidi="ar"/>
              </w:rPr>
              <w:t>疫</w:t>
            </w:r>
            <w:proofErr w:type="gramEnd"/>
            <w:r>
              <w:rPr>
                <w:rFonts w:ascii="宋体" w:eastAsia="宋体" w:hAnsi="宋体" w:cs="宋体" w:hint="eastAsia"/>
                <w:kern w:val="0"/>
                <w:sz w:val="20"/>
                <w:szCs w:val="20"/>
                <w:lang w:bidi="ar"/>
              </w:rPr>
              <w:t>特别国债安排的支出</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58</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本年收入合计</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27</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59,628.77</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本年支出合计</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59</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61,765.45</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44,478.94</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17,286.50</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年初财政拨款结转和结余</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28</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9,514.98</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年末财政拨款结转和结余</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60</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7,378.31</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3,441.08</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3,937.22</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 xml:space="preserve">  一般公共预算财政拨款</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29</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3,591.72</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61</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政府性基金预算财政拨款</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30</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5,923.26</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62</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国有资本经营预算财政拨款</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31</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63</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r>
      <w:tr w:rsidR="00265915">
        <w:trPr>
          <w:trHeight w:val="300"/>
          <w:jc w:val="center"/>
        </w:trPr>
        <w:tc>
          <w:tcPr>
            <w:tcW w:w="3067"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总计</w:t>
            </w:r>
          </w:p>
        </w:tc>
        <w:tc>
          <w:tcPr>
            <w:tcW w:w="76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32</w:t>
            </w:r>
          </w:p>
        </w:tc>
        <w:tc>
          <w:tcPr>
            <w:tcW w:w="1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69,143.75</w:t>
            </w:r>
          </w:p>
        </w:tc>
        <w:tc>
          <w:tcPr>
            <w:tcW w:w="30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总计</w:t>
            </w:r>
          </w:p>
        </w:tc>
        <w:tc>
          <w:tcPr>
            <w:tcW w:w="5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64</w:t>
            </w:r>
          </w:p>
        </w:tc>
        <w:tc>
          <w:tcPr>
            <w:tcW w:w="13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69,143.75</w:t>
            </w:r>
          </w:p>
        </w:tc>
        <w:tc>
          <w:tcPr>
            <w:tcW w:w="15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47,920.03</w:t>
            </w:r>
          </w:p>
        </w:tc>
        <w:tc>
          <w:tcPr>
            <w:tcW w:w="1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21,223.73</w:t>
            </w:r>
          </w:p>
        </w:tc>
        <w:tc>
          <w:tcPr>
            <w:tcW w:w="16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13113" w:type="dxa"/>
            <w:gridSpan w:val="12"/>
            <w:tcBorders>
              <w:top w:val="nil"/>
              <w:left w:val="nil"/>
              <w:bottom w:val="nil"/>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注：本表反映部门本年度一般公共预算财政拨款、政府性基金预算财政拨款和国有资本经营预算财政拨款的总收支和年末结转结余情况。</w:t>
            </w:r>
          </w:p>
        </w:tc>
        <w:tc>
          <w:tcPr>
            <w:tcW w:w="1694" w:type="dxa"/>
            <w:tcBorders>
              <w:top w:val="nil"/>
              <w:left w:val="nil"/>
              <w:bottom w:val="nil"/>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r>
    </w:tbl>
    <w:p w:rsidR="00265915" w:rsidRDefault="00265915">
      <w:pPr>
        <w:widowControl/>
        <w:ind w:left="93"/>
        <w:jc w:val="center"/>
        <w:rPr>
          <w:rFonts w:ascii="Times New Roman" w:eastAsia="方正小标宋_GBK" w:hAnsi="Times New Roman" w:cs="Times New Roman"/>
          <w:color w:val="000000"/>
          <w:kern w:val="0"/>
          <w:sz w:val="36"/>
          <w:szCs w:val="21"/>
        </w:rPr>
      </w:pPr>
    </w:p>
    <w:p w:rsidR="00265915" w:rsidRDefault="00265915">
      <w:pPr>
        <w:widowControl/>
        <w:jc w:val="center"/>
        <w:rPr>
          <w:rFonts w:ascii="Times New Roman" w:eastAsia="方正小标宋_GBK" w:hAnsi="Times New Roman" w:cs="Times New Roman"/>
          <w:kern w:val="0"/>
          <w:sz w:val="36"/>
          <w:szCs w:val="36"/>
        </w:rPr>
      </w:pPr>
      <w:bookmarkStart w:id="0" w:name="RANGE!A1:F16"/>
    </w:p>
    <w:p w:rsidR="00265915" w:rsidRDefault="00265915">
      <w:pPr>
        <w:widowControl/>
        <w:jc w:val="center"/>
        <w:rPr>
          <w:rFonts w:ascii="Times New Roman" w:eastAsia="方正小标宋_GBK" w:hAnsi="Times New Roman" w:cs="Times New Roman"/>
          <w:kern w:val="0"/>
          <w:sz w:val="36"/>
          <w:szCs w:val="36"/>
        </w:rPr>
      </w:pPr>
    </w:p>
    <w:p w:rsidR="00265915" w:rsidRDefault="00265915">
      <w:pPr>
        <w:widowControl/>
        <w:jc w:val="center"/>
        <w:rPr>
          <w:rFonts w:ascii="Times New Roman" w:eastAsia="方正小标宋_GBK" w:hAnsi="Times New Roman" w:cs="Times New Roman"/>
          <w:kern w:val="0"/>
          <w:sz w:val="36"/>
          <w:szCs w:val="36"/>
        </w:rPr>
      </w:pPr>
    </w:p>
    <w:p w:rsidR="00265915" w:rsidRDefault="00265915">
      <w:pPr>
        <w:widowControl/>
        <w:jc w:val="center"/>
        <w:rPr>
          <w:rFonts w:ascii="Times New Roman" w:eastAsia="方正小标宋_GBK" w:hAnsi="Times New Roman" w:cs="Times New Roman"/>
          <w:kern w:val="0"/>
          <w:sz w:val="36"/>
          <w:szCs w:val="36"/>
        </w:rPr>
      </w:pPr>
    </w:p>
    <w:p w:rsidR="00265915" w:rsidRDefault="00265915">
      <w:pPr>
        <w:widowControl/>
        <w:jc w:val="center"/>
        <w:rPr>
          <w:rFonts w:ascii="Times New Roman" w:eastAsia="方正小标宋_GBK" w:hAnsi="Times New Roman" w:cs="Times New Roman"/>
          <w:kern w:val="0"/>
          <w:sz w:val="36"/>
          <w:szCs w:val="36"/>
        </w:rPr>
      </w:pPr>
    </w:p>
    <w:p w:rsidR="00265915" w:rsidRDefault="00265915">
      <w:pPr>
        <w:widowControl/>
        <w:jc w:val="center"/>
        <w:rPr>
          <w:rFonts w:ascii="Times New Roman" w:eastAsia="方正小标宋_GBK" w:hAnsi="Times New Roman" w:cs="Times New Roman"/>
          <w:kern w:val="0"/>
          <w:sz w:val="36"/>
          <w:szCs w:val="36"/>
        </w:rPr>
      </w:pPr>
    </w:p>
    <w:p w:rsidR="00265915" w:rsidRDefault="00265915">
      <w:pPr>
        <w:widowControl/>
        <w:jc w:val="center"/>
        <w:rPr>
          <w:rFonts w:ascii="Times New Roman" w:eastAsia="方正小标宋_GBK" w:hAnsi="Times New Roman" w:cs="Times New Roman"/>
          <w:kern w:val="0"/>
          <w:sz w:val="36"/>
          <w:szCs w:val="36"/>
        </w:rPr>
      </w:pPr>
    </w:p>
    <w:p w:rsidR="00265915" w:rsidRDefault="00265915">
      <w:pPr>
        <w:widowControl/>
        <w:jc w:val="center"/>
        <w:rPr>
          <w:rFonts w:ascii="Times New Roman" w:eastAsia="方正小标宋_GBK" w:hAnsi="Times New Roman" w:cs="Times New Roman"/>
          <w:kern w:val="0"/>
          <w:sz w:val="36"/>
          <w:szCs w:val="36"/>
        </w:rPr>
      </w:pPr>
    </w:p>
    <w:p w:rsidR="00265915" w:rsidRDefault="00265915">
      <w:pPr>
        <w:widowControl/>
        <w:jc w:val="center"/>
        <w:rPr>
          <w:rFonts w:ascii="Times New Roman" w:eastAsia="方正小标宋_GBK" w:hAnsi="Times New Roman" w:cs="Times New Roman"/>
          <w:kern w:val="0"/>
          <w:sz w:val="36"/>
          <w:szCs w:val="36"/>
        </w:rPr>
      </w:pPr>
    </w:p>
    <w:p w:rsidR="00265915" w:rsidRDefault="00D23F2A">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p>
    <w:tbl>
      <w:tblPr>
        <w:tblW w:w="13974" w:type="dxa"/>
        <w:jc w:val="center"/>
        <w:tblInd w:w="-587" w:type="dxa"/>
        <w:tblLayout w:type="fixed"/>
        <w:tblCellMar>
          <w:left w:w="0" w:type="dxa"/>
          <w:right w:w="0" w:type="dxa"/>
        </w:tblCellMar>
        <w:tblLook w:val="04A0" w:firstRow="1" w:lastRow="0" w:firstColumn="1" w:lastColumn="0" w:noHBand="0" w:noVBand="1"/>
      </w:tblPr>
      <w:tblGrid>
        <w:gridCol w:w="1607"/>
        <w:gridCol w:w="5553"/>
        <w:gridCol w:w="2283"/>
        <w:gridCol w:w="2264"/>
        <w:gridCol w:w="2256"/>
        <w:gridCol w:w="11"/>
      </w:tblGrid>
      <w:tr w:rsidR="00265915">
        <w:trPr>
          <w:gridAfter w:val="1"/>
          <w:wAfter w:w="11" w:type="dxa"/>
          <w:trHeight w:val="300"/>
          <w:jc w:val="center"/>
        </w:trPr>
        <w:tc>
          <w:tcPr>
            <w:tcW w:w="13963" w:type="dxa"/>
            <w:gridSpan w:val="5"/>
            <w:tcBorders>
              <w:top w:val="nil"/>
              <w:left w:val="nil"/>
              <w:bottom w:val="single" w:sz="4" w:space="0" w:color="80808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部门：湖南省体育局                               2021年度                                          金额单位：万元</w:t>
            </w:r>
          </w:p>
        </w:tc>
      </w:tr>
      <w:tr w:rsidR="00265915">
        <w:trPr>
          <w:gridAfter w:val="1"/>
          <w:wAfter w:w="11" w:type="dxa"/>
          <w:trHeight w:val="300"/>
          <w:jc w:val="center"/>
        </w:trPr>
        <w:tc>
          <w:tcPr>
            <w:tcW w:w="716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项目</w:t>
            </w:r>
          </w:p>
        </w:tc>
        <w:tc>
          <w:tcPr>
            <w:tcW w:w="6803"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本年支出</w:t>
            </w:r>
          </w:p>
        </w:tc>
      </w:tr>
      <w:tr w:rsidR="00265915">
        <w:trPr>
          <w:gridAfter w:val="1"/>
          <w:wAfter w:w="11" w:type="dxa"/>
          <w:trHeight w:val="312"/>
          <w:jc w:val="center"/>
        </w:trPr>
        <w:tc>
          <w:tcPr>
            <w:tcW w:w="160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功能分类科目编码</w:t>
            </w:r>
          </w:p>
        </w:tc>
        <w:tc>
          <w:tcPr>
            <w:tcW w:w="555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科目名称</w:t>
            </w:r>
          </w:p>
        </w:tc>
        <w:tc>
          <w:tcPr>
            <w:tcW w:w="22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小计</w:t>
            </w:r>
          </w:p>
        </w:tc>
        <w:tc>
          <w:tcPr>
            <w:tcW w:w="226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基本支出</w:t>
            </w:r>
          </w:p>
        </w:tc>
        <w:tc>
          <w:tcPr>
            <w:tcW w:w="225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项目支出</w:t>
            </w:r>
          </w:p>
        </w:tc>
      </w:tr>
      <w:tr w:rsidR="00265915">
        <w:trPr>
          <w:gridAfter w:val="1"/>
          <w:wAfter w:w="11" w:type="dxa"/>
          <w:trHeight w:val="312"/>
          <w:jc w:val="center"/>
        </w:trPr>
        <w:tc>
          <w:tcPr>
            <w:tcW w:w="160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555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22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226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22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gridAfter w:val="1"/>
          <w:wAfter w:w="11" w:type="dxa"/>
          <w:trHeight w:val="312"/>
          <w:jc w:val="center"/>
        </w:trPr>
        <w:tc>
          <w:tcPr>
            <w:tcW w:w="160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555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22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226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22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gridAfter w:val="1"/>
          <w:wAfter w:w="11" w:type="dxa"/>
          <w:trHeight w:val="300"/>
          <w:jc w:val="center"/>
        </w:trPr>
        <w:tc>
          <w:tcPr>
            <w:tcW w:w="716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栏次</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r>
      <w:tr w:rsidR="00265915">
        <w:trPr>
          <w:gridAfter w:val="1"/>
          <w:wAfter w:w="11" w:type="dxa"/>
          <w:trHeight w:val="300"/>
          <w:jc w:val="center"/>
        </w:trPr>
        <w:tc>
          <w:tcPr>
            <w:tcW w:w="716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合计</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44,478.94</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26,126.06</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18,352.88</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201</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一般公共服务支出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330.65</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330.65</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20104</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发展与改革事务</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210.00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210.00</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2010499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其他发展与改革事务支出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210.00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210.00</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20199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其他一般公共服务支出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120.65</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120.65</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2019999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其他一般公共服务支出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120.65</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120.65</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205</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教育支出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6,594.02</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4,739.48</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1,854.54</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20503</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职业教育</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6,593.54</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4,739.00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1,854.54</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2050302</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中等职业教育</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101.20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101.20</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2050305</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高等职业教育</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6,492.34</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4,739.00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1,753.34</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20508</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进修及培训</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0.48</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0.48</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2050803</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培训支出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0.48</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0.48</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206</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科学技术支出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20606</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社会科学</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2060699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其他社会科学支出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207</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文化旅游体育与传媒支出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32,825.26</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16,697.79</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16,127.47</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20703</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体育</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27,952.57</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16,697.79</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11,254.78</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2070301</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行政运行</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1,651.74</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1,619.55</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32.19</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2070302</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一般行政管理事务</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265.77</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265.77</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2070303</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机关服务</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692.47</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179.07</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513.40</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2070304</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运动项目管理</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13,297.84</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12,947.82</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350.02</w:t>
            </w:r>
          </w:p>
        </w:tc>
      </w:tr>
      <w:tr w:rsidR="00265915">
        <w:trPr>
          <w:gridAfter w:val="1"/>
          <w:wAfter w:w="11" w:type="dxa"/>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2070305</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体育竞赛</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3,642.95</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2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3,642.95</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2070307</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体育场馆</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2,320.36</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1,611.27</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709.10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2070309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体育交流与合作</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140.49</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55.09</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85.40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2070399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其他体育支出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5,940.94</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284.99</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5,655.95</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20799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其他文化旅游体育与传媒支出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4,872.69</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4,872.69</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2079999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其他文化旅游体育与传媒支出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4,872.69</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4,872.69</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社会保障和就业支出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1,796.47</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1,788.69</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7.78</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20805</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行政事业单位养老支出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1,774.57</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1,774.57</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2080501</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行政单位离退休</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102.56</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102.56</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2080502</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事业单位离退休</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13.48</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13.48</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2080505</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机关事业单位基本养老保险缴费支出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1,594.77</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1,594.77</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2080506</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机关事业单位职业年金缴费支出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63.75</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63.75</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20807</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就业补助</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7.70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7.70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2080701</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就业创业服务补贴</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7.70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7.70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20899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其他社会保障和就业支出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14.20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14.12</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0.08</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2089999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其他社会保障和就业支出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14.20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14.12</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0.08</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卫生健康支出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1,367.02</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1,364.58</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2.44</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21002</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公立医院</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384.60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382.16</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2.44</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2100208</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其他专科医院</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384.60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382.16</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2.44</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21011</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行政事业单位医疗</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981.63</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981.63</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2101101</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行政单位医疗</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136.20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136.20</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2101102</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事业单位医疗</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845.43</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845.43</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21099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其他卫生健康支出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0.80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0.80</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2109999</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其他卫生健康支出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0.80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0.80</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211</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节能环保支出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21110</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能源节约利用</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2111001</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能源节约利用</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30.00</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221</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住房保障支出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1,535.52</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1,535.52</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22102</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住房改革支出</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1,535.52</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1,535.52</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2210201</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住房公积金</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1,504.56</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1,504.56</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160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2210203</w:t>
            </w:r>
          </w:p>
        </w:tc>
        <w:tc>
          <w:tcPr>
            <w:tcW w:w="55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购房补贴</w:t>
            </w:r>
          </w:p>
        </w:tc>
        <w:tc>
          <w:tcPr>
            <w:tcW w:w="22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30.96</w:t>
            </w:r>
          </w:p>
        </w:tc>
        <w:tc>
          <w:tcPr>
            <w:tcW w:w="22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30.96</w:t>
            </w:r>
          </w:p>
        </w:tc>
        <w:tc>
          <w:tcPr>
            <w:tcW w:w="22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trHeight w:val="300"/>
          <w:jc w:val="center"/>
        </w:trPr>
        <w:tc>
          <w:tcPr>
            <w:tcW w:w="13974" w:type="dxa"/>
            <w:gridSpan w:val="6"/>
            <w:tcBorders>
              <w:top w:val="nil"/>
              <w:left w:val="nil"/>
              <w:bottom w:val="nil"/>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注：本表反映部门本年度一般公共预算财政拨款支出情况。</w:t>
            </w:r>
          </w:p>
        </w:tc>
      </w:tr>
    </w:tbl>
    <w:p w:rsidR="00265915" w:rsidRDefault="00D23F2A">
      <w:pPr>
        <w:widowControl/>
        <w:jc w:val="center"/>
        <w:rPr>
          <w:rFonts w:ascii="Times New Roman" w:eastAsia="仿宋_GB2312" w:hAnsi="Times New Roman" w:cs="Times New Roman"/>
          <w:bCs/>
          <w:kern w:val="0"/>
          <w:sz w:val="36"/>
          <w:szCs w:val="36"/>
        </w:rPr>
      </w:pPr>
      <w:bookmarkStart w:id="1" w:name="RANGE!A1:I34"/>
      <w:bookmarkEnd w:id="0"/>
      <w:r>
        <w:rPr>
          <w:rFonts w:ascii="华文中宋" w:eastAsia="华文中宋" w:hAnsi="华文中宋" w:cs="宋体" w:hint="eastAsia"/>
          <w:color w:val="000000"/>
          <w:kern w:val="0"/>
          <w:sz w:val="36"/>
          <w:szCs w:val="36"/>
        </w:rPr>
        <w:t>一般公共预算财政拨款基本支出决算明细表</w:t>
      </w:r>
      <w:bookmarkEnd w:id="1"/>
    </w:p>
    <w:tbl>
      <w:tblPr>
        <w:tblW w:w="18420" w:type="dxa"/>
        <w:tblLayout w:type="fixed"/>
        <w:tblCellMar>
          <w:left w:w="0" w:type="dxa"/>
          <w:right w:w="0" w:type="dxa"/>
        </w:tblCellMar>
        <w:tblLook w:val="04A0" w:firstRow="1" w:lastRow="0" w:firstColumn="1" w:lastColumn="0" w:noHBand="0" w:noVBand="1"/>
      </w:tblPr>
      <w:tblGrid>
        <w:gridCol w:w="739"/>
        <w:gridCol w:w="3147"/>
        <w:gridCol w:w="371"/>
        <w:gridCol w:w="1046"/>
        <w:gridCol w:w="740"/>
        <w:gridCol w:w="754"/>
        <w:gridCol w:w="1435"/>
        <w:gridCol w:w="1345"/>
        <w:gridCol w:w="455"/>
        <w:gridCol w:w="740"/>
        <w:gridCol w:w="605"/>
        <w:gridCol w:w="2242"/>
        <w:gridCol w:w="1221"/>
        <w:gridCol w:w="3580"/>
      </w:tblGrid>
      <w:tr w:rsidR="00265915">
        <w:trPr>
          <w:gridAfter w:val="1"/>
          <w:wAfter w:w="3581" w:type="dxa"/>
          <w:trHeight w:val="300"/>
        </w:trPr>
        <w:tc>
          <w:tcPr>
            <w:tcW w:w="4260" w:type="dxa"/>
            <w:gridSpan w:val="3"/>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部门：湖南省体育局</w:t>
            </w:r>
          </w:p>
        </w:tc>
        <w:tc>
          <w:tcPr>
            <w:tcW w:w="1786" w:type="dxa"/>
            <w:gridSpan w:val="2"/>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754"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2780" w:type="dxa"/>
            <w:gridSpan w:val="2"/>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1800" w:type="dxa"/>
            <w:gridSpan w:val="3"/>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3459" w:type="dxa"/>
            <w:gridSpan w:val="2"/>
            <w:tcBorders>
              <w:top w:val="nil"/>
              <w:left w:val="nil"/>
              <w:bottom w:val="single" w:sz="4" w:space="0" w:color="80808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r>
              <w:rPr>
                <w:rFonts w:ascii="宋体" w:eastAsia="宋体" w:hAnsi="宋体" w:cs="宋体" w:hint="eastAsia"/>
                <w:color w:val="000000"/>
                <w:kern w:val="0"/>
                <w:sz w:val="22"/>
                <w:lang w:bidi="ar"/>
              </w:rPr>
              <w:t>金额单位：</w:t>
            </w:r>
          </w:p>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r>
      <w:tr w:rsidR="00265915">
        <w:trPr>
          <w:gridAfter w:val="1"/>
          <w:wAfter w:w="3581" w:type="dxa"/>
          <w:trHeight w:val="300"/>
        </w:trPr>
        <w:tc>
          <w:tcPr>
            <w:tcW w:w="604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人员经费</w:t>
            </w:r>
          </w:p>
        </w:tc>
        <w:tc>
          <w:tcPr>
            <w:tcW w:w="8793" w:type="dxa"/>
            <w:gridSpan w:val="8"/>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公用经费</w:t>
            </w:r>
          </w:p>
        </w:tc>
      </w:tr>
      <w:tr w:rsidR="00265915">
        <w:trPr>
          <w:gridAfter w:val="1"/>
          <w:wAfter w:w="3576" w:type="dxa"/>
          <w:trHeight w:val="312"/>
        </w:trPr>
        <w:tc>
          <w:tcPr>
            <w:tcW w:w="74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科目编码</w:t>
            </w:r>
          </w:p>
        </w:tc>
        <w:tc>
          <w:tcPr>
            <w:tcW w:w="314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科目名称</w:t>
            </w:r>
          </w:p>
        </w:tc>
        <w:tc>
          <w:tcPr>
            <w:tcW w:w="1417"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决算数</w:t>
            </w:r>
          </w:p>
        </w:tc>
        <w:tc>
          <w:tcPr>
            <w:tcW w:w="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科目编码</w:t>
            </w:r>
          </w:p>
        </w:tc>
        <w:tc>
          <w:tcPr>
            <w:tcW w:w="218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科目名称</w:t>
            </w:r>
          </w:p>
        </w:tc>
        <w:tc>
          <w:tcPr>
            <w:tcW w:w="1800"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决算数</w:t>
            </w:r>
          </w:p>
        </w:tc>
        <w:tc>
          <w:tcPr>
            <w:tcW w:w="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科目编码</w:t>
            </w:r>
          </w:p>
        </w:tc>
        <w:tc>
          <w:tcPr>
            <w:tcW w:w="284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科目名称</w:t>
            </w:r>
          </w:p>
        </w:tc>
        <w:tc>
          <w:tcPr>
            <w:tcW w:w="1221" w:type="dxa"/>
            <w:vMerge w:val="restart"/>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决算数</w:t>
            </w:r>
          </w:p>
        </w:tc>
      </w:tr>
      <w:tr w:rsidR="00265915">
        <w:trPr>
          <w:gridAfter w:val="1"/>
          <w:wAfter w:w="3576" w:type="dxa"/>
          <w:trHeight w:val="312"/>
        </w:trPr>
        <w:tc>
          <w:tcPr>
            <w:tcW w:w="7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314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41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218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800"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284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221"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工资福利支出</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21,766.22</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商品和服务支出</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2,935.16</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307</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债务利息及费用支出</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30101</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基本工资</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6,599.10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30201</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办公费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198.98</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30701</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国内债务付息</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30102</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津贴补贴</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951.91</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30202</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印刷费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41.75</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30702</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国外债务付息</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30103</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奖金</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289.98</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30203</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咨询费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资本性支出</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1.85</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30106</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伙食补助费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2,139.98</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30204</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手续费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31001</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房屋建筑物购建</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277"/>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30107</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绩效工资</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5,409.42</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30205</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水费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85.91</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31002</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办公设备购置</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1.85</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30108</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机关事业单位基本养老保险缴费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2,138.78</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30206</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电费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442.16</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31003</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专用设备购置</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30109</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职业年金缴费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86.91</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30207</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邮电费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45.63</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31005</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基础设施建设</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30110</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职工基本医疗保险缴费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953.64</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30208</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取暖费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2.70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31006</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大型修缮</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30111</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公务员医疗补助缴费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64.20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30209</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物业管理费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356.93</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31007</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信息网络及软件购置更新</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30112</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其他社会保障缴费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194.87</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30211</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差旅费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303.33</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31008</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物资储备</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30113</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住房公积金</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1,739.73</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30212</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因公出国（境）费用</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31009</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土地补偿</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30114</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医疗费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94.44</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30213</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维修（护）费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146.73</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31010</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安置补助</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30199</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其他工资福利支出</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1,103.25</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30214</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租赁费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78.82</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31011</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地上附着物和青苗补偿</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对个人和家庭的补助</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1,422.83</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30215</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会议费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9.82</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31012</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拆迁补偿</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30301</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离休费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161.73</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30216</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培训费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14.22</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31013</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公务用车购置</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30302</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退休费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460.77</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30217</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公务接待费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5.83</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31019</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其他交通工具购置</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30303</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退职（役）费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30218</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专用材料费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5.82</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31021</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文物和陈列品购置</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76"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30304</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抚恤金</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168.50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30224</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被装购置费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31022</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无形资产购置</w:t>
            </w:r>
          </w:p>
        </w:tc>
        <w:tc>
          <w:tcPr>
            <w:tcW w:w="12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81"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30305</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生活补助</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43.27</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30225</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专用燃料费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31099</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其他资本性支出</w:t>
            </w:r>
          </w:p>
        </w:tc>
        <w:tc>
          <w:tcPr>
            <w:tcW w:w="12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81"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30306</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救济费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30226</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劳务费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164.55</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399</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其他支出</w:t>
            </w:r>
          </w:p>
        </w:tc>
        <w:tc>
          <w:tcPr>
            <w:tcW w:w="12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81"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30307</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医疗费补助</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129.62</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30227</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委托业务费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15.74</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39906</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赠与</w:t>
            </w:r>
          </w:p>
        </w:tc>
        <w:tc>
          <w:tcPr>
            <w:tcW w:w="12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81"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30308</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助学金</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80.00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30228</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工会经费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466.68</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39907</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国家赔偿费用支出</w:t>
            </w:r>
          </w:p>
        </w:tc>
        <w:tc>
          <w:tcPr>
            <w:tcW w:w="12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81"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30309</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奖励金</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65.71</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30229</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福利费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43.62</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39908</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对民间非营利组织和群众性自治组织补贴</w:t>
            </w:r>
          </w:p>
        </w:tc>
        <w:tc>
          <w:tcPr>
            <w:tcW w:w="12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81"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30310</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个人农业生产补贴</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30231</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公务用车运行维护费</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74.35</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39999</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其他支出</w:t>
            </w:r>
          </w:p>
        </w:tc>
        <w:tc>
          <w:tcPr>
            <w:tcW w:w="12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r>
      <w:tr w:rsidR="00265915">
        <w:trPr>
          <w:gridAfter w:val="1"/>
          <w:wAfter w:w="3581"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30311</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代缴社会保险费</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30239</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其他交通费用</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219.39</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2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r>
      <w:tr w:rsidR="00265915">
        <w:trPr>
          <w:gridAfter w:val="1"/>
          <w:wAfter w:w="3581"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30399</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其他对个人和家庭的补助</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313.22</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30240</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税金及附加费用</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16.21</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2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r>
      <w:tr w:rsidR="00265915">
        <w:trPr>
          <w:gridAfter w:val="1"/>
          <w:wAfter w:w="3581" w:type="dxa"/>
          <w:trHeight w:val="300"/>
        </w:trPr>
        <w:tc>
          <w:tcPr>
            <w:tcW w:w="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3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30299</w:t>
            </w:r>
          </w:p>
        </w:tc>
        <w:tc>
          <w:tcPr>
            <w:tcW w:w="218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其他商品和服务支出</w:t>
            </w:r>
          </w:p>
        </w:tc>
        <w:tc>
          <w:tcPr>
            <w:tcW w:w="180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194.79</w:t>
            </w:r>
          </w:p>
        </w:tc>
        <w:tc>
          <w:tcPr>
            <w:tcW w:w="7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284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12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r>
      <w:tr w:rsidR="00265915">
        <w:trPr>
          <w:gridAfter w:val="1"/>
          <w:wAfter w:w="3581" w:type="dxa"/>
          <w:trHeight w:val="300"/>
        </w:trPr>
        <w:tc>
          <w:tcPr>
            <w:tcW w:w="3889"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人员经费合计</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23,189.05</w:t>
            </w:r>
          </w:p>
        </w:tc>
        <w:tc>
          <w:tcPr>
            <w:tcW w:w="8317" w:type="dxa"/>
            <w:gridSpan w:val="8"/>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公用经费合计</w:t>
            </w:r>
          </w:p>
        </w:tc>
        <w:tc>
          <w:tcPr>
            <w:tcW w:w="12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2,937.01</w:t>
            </w:r>
          </w:p>
        </w:tc>
      </w:tr>
      <w:tr w:rsidR="00265915">
        <w:trPr>
          <w:trHeight w:val="300"/>
        </w:trPr>
        <w:tc>
          <w:tcPr>
            <w:tcW w:w="18420" w:type="dxa"/>
            <w:gridSpan w:val="14"/>
            <w:tcBorders>
              <w:top w:val="nil"/>
              <w:left w:val="nil"/>
              <w:bottom w:val="nil"/>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注：本表反映部门本年度一般公共预算财政拨款基本支出明细情况。</w:t>
            </w:r>
          </w:p>
        </w:tc>
      </w:tr>
    </w:tbl>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265915">
      <w:pPr>
        <w:widowControl/>
        <w:jc w:val="left"/>
        <w:rPr>
          <w:rFonts w:ascii="Times New Roman" w:eastAsia="仿宋_GB2312" w:hAnsi="Times New Roman" w:cs="Times New Roman"/>
          <w:bCs/>
          <w:kern w:val="0"/>
          <w:szCs w:val="21"/>
        </w:rPr>
      </w:pPr>
    </w:p>
    <w:p w:rsidR="00265915" w:rsidRDefault="00D23F2A">
      <w:pPr>
        <w:widowControl/>
        <w:jc w:val="center"/>
        <w:rPr>
          <w:rFonts w:ascii="Times New Roman" w:eastAsia="仿宋_GB2312" w:hAnsi="Times New Roman" w:cs="Times New Roman"/>
          <w:bCs/>
          <w:kern w:val="0"/>
          <w:szCs w:val="21"/>
        </w:rPr>
      </w:pPr>
      <w:r>
        <w:rPr>
          <w:rFonts w:ascii="Times New Roman" w:eastAsia="方正小标宋_GBK" w:hAnsi="Times New Roman" w:cs="Times New Roman" w:hint="eastAsia"/>
          <w:color w:val="000000"/>
          <w:kern w:val="0"/>
          <w:sz w:val="36"/>
          <w:szCs w:val="36"/>
        </w:rPr>
        <w:t>一般公共预算财政拨款“三公”经费支出决算表</w:t>
      </w:r>
    </w:p>
    <w:tbl>
      <w:tblPr>
        <w:tblW w:w="16317" w:type="dxa"/>
        <w:tblLayout w:type="fixed"/>
        <w:tblCellMar>
          <w:left w:w="0" w:type="dxa"/>
          <w:right w:w="0" w:type="dxa"/>
        </w:tblCellMar>
        <w:tblLook w:val="04A0" w:firstRow="1" w:lastRow="0" w:firstColumn="1" w:lastColumn="0" w:noHBand="0" w:noVBand="1"/>
      </w:tblPr>
      <w:tblGrid>
        <w:gridCol w:w="884"/>
        <w:gridCol w:w="1233"/>
        <w:gridCol w:w="1420"/>
        <w:gridCol w:w="1420"/>
        <w:gridCol w:w="1420"/>
        <w:gridCol w:w="1420"/>
        <w:gridCol w:w="1153"/>
        <w:gridCol w:w="267"/>
        <w:gridCol w:w="951"/>
        <w:gridCol w:w="469"/>
        <w:gridCol w:w="951"/>
        <w:gridCol w:w="1420"/>
        <w:gridCol w:w="1420"/>
        <w:gridCol w:w="469"/>
        <w:gridCol w:w="951"/>
        <w:gridCol w:w="469"/>
      </w:tblGrid>
      <w:tr w:rsidR="00265915">
        <w:trPr>
          <w:gridAfter w:val="1"/>
          <w:wAfter w:w="469" w:type="dxa"/>
          <w:trHeight w:val="300"/>
        </w:trPr>
        <w:tc>
          <w:tcPr>
            <w:tcW w:w="2117" w:type="dxa"/>
            <w:gridSpan w:val="2"/>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2"/>
              </w:rPr>
            </w:pPr>
            <w:r>
              <w:rPr>
                <w:rFonts w:ascii="宋体" w:eastAsia="宋体" w:hAnsi="宋体" w:cs="宋体" w:hint="eastAsia"/>
                <w:kern w:val="0"/>
                <w:sz w:val="22"/>
                <w:lang w:bidi="ar"/>
              </w:rPr>
              <w:t>部门：湖南省体育局</w:t>
            </w:r>
          </w:p>
        </w:tc>
        <w:tc>
          <w:tcPr>
            <w:tcW w:w="142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42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42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r>
              <w:rPr>
                <w:rFonts w:ascii="宋体" w:eastAsia="宋体" w:hAnsi="宋体" w:cs="宋体" w:hint="eastAsia"/>
                <w:color w:val="000000"/>
                <w:kern w:val="0"/>
                <w:sz w:val="22"/>
                <w:lang w:bidi="ar"/>
              </w:rPr>
              <w:t>2021年度</w:t>
            </w:r>
          </w:p>
        </w:tc>
        <w:tc>
          <w:tcPr>
            <w:tcW w:w="142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265915">
            <w:pPr>
              <w:widowControl/>
              <w:jc w:val="center"/>
              <w:textAlignment w:val="center"/>
              <w:rPr>
                <w:rFonts w:ascii="宋体" w:eastAsia="宋体" w:hAnsi="宋体" w:cs="宋体"/>
                <w:sz w:val="22"/>
              </w:rPr>
            </w:pPr>
          </w:p>
        </w:tc>
        <w:tc>
          <w:tcPr>
            <w:tcW w:w="1420" w:type="dxa"/>
            <w:gridSpan w:val="2"/>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420" w:type="dxa"/>
            <w:gridSpan w:val="2"/>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4260" w:type="dxa"/>
            <w:gridSpan w:val="4"/>
            <w:tcBorders>
              <w:top w:val="nil"/>
              <w:left w:val="nil"/>
              <w:bottom w:val="single" w:sz="4" w:space="0" w:color="80808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r>
              <w:rPr>
                <w:rFonts w:ascii="宋体" w:eastAsia="宋体" w:hAnsi="宋体" w:cs="宋体" w:hint="eastAsia"/>
                <w:kern w:val="0"/>
                <w:sz w:val="22"/>
                <w:lang w:bidi="ar"/>
              </w:rPr>
              <w:t>金额单位：万元</w:t>
            </w:r>
          </w:p>
        </w:tc>
        <w:tc>
          <w:tcPr>
            <w:tcW w:w="951" w:type="dxa"/>
            <w:tcBorders>
              <w:top w:val="nil"/>
              <w:left w:val="nil"/>
              <w:bottom w:val="single" w:sz="4" w:space="0" w:color="808080"/>
              <w:right w:val="single" w:sz="4" w:space="0" w:color="808080"/>
            </w:tcBorders>
            <w:shd w:val="clear" w:color="auto" w:fill="auto"/>
            <w:tcMar>
              <w:top w:w="15" w:type="dxa"/>
              <w:left w:w="15" w:type="dxa"/>
              <w:right w:w="15" w:type="dxa"/>
            </w:tcMar>
            <w:vAlign w:val="center"/>
          </w:tcPr>
          <w:p w:rsidR="00265915" w:rsidRDefault="00265915">
            <w:pPr>
              <w:widowControl/>
              <w:jc w:val="right"/>
              <w:textAlignment w:val="center"/>
              <w:rPr>
                <w:rFonts w:ascii="宋体" w:eastAsia="宋体" w:hAnsi="宋体" w:cs="宋体"/>
                <w:sz w:val="22"/>
              </w:rPr>
            </w:pPr>
          </w:p>
        </w:tc>
      </w:tr>
      <w:tr w:rsidR="00265915">
        <w:trPr>
          <w:gridAfter w:val="1"/>
          <w:wAfter w:w="469" w:type="dxa"/>
          <w:trHeight w:val="300"/>
        </w:trPr>
        <w:tc>
          <w:tcPr>
            <w:tcW w:w="7797"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预算数</w:t>
            </w:r>
          </w:p>
        </w:tc>
        <w:tc>
          <w:tcPr>
            <w:tcW w:w="8051" w:type="dxa"/>
            <w:gridSpan w:val="9"/>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决算数</w:t>
            </w:r>
          </w:p>
        </w:tc>
      </w:tr>
      <w:tr w:rsidR="00265915">
        <w:trPr>
          <w:gridAfter w:val="1"/>
          <w:wAfter w:w="469" w:type="dxa"/>
          <w:trHeight w:val="300"/>
        </w:trPr>
        <w:tc>
          <w:tcPr>
            <w:tcW w:w="88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合计</w:t>
            </w:r>
          </w:p>
        </w:tc>
        <w:tc>
          <w:tcPr>
            <w:tcW w:w="123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kern w:val="0"/>
                <w:sz w:val="20"/>
                <w:szCs w:val="20"/>
                <w:lang w:bidi="ar"/>
              </w:rPr>
            </w:pPr>
            <w:r>
              <w:rPr>
                <w:rFonts w:ascii="宋体" w:eastAsia="宋体" w:hAnsi="宋体" w:cs="宋体" w:hint="eastAsia"/>
                <w:kern w:val="0"/>
                <w:sz w:val="20"/>
                <w:szCs w:val="20"/>
                <w:lang w:bidi="ar"/>
              </w:rPr>
              <w:t>因公出国</w:t>
            </w:r>
          </w:p>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（境）费</w:t>
            </w:r>
          </w:p>
        </w:tc>
        <w:tc>
          <w:tcPr>
            <w:tcW w:w="426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公务用车购置及运行费</w:t>
            </w:r>
          </w:p>
        </w:tc>
        <w:tc>
          <w:tcPr>
            <w:tcW w:w="14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公务接待费</w:t>
            </w:r>
          </w:p>
        </w:tc>
        <w:tc>
          <w:tcPr>
            <w:tcW w:w="115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合计</w:t>
            </w:r>
          </w:p>
        </w:tc>
        <w:tc>
          <w:tcPr>
            <w:tcW w:w="121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kern w:val="0"/>
                <w:sz w:val="20"/>
                <w:szCs w:val="20"/>
                <w:lang w:bidi="ar"/>
              </w:rPr>
            </w:pPr>
            <w:r>
              <w:rPr>
                <w:rFonts w:ascii="宋体" w:eastAsia="宋体" w:hAnsi="宋体" w:cs="宋体" w:hint="eastAsia"/>
                <w:kern w:val="0"/>
                <w:sz w:val="20"/>
                <w:szCs w:val="20"/>
                <w:lang w:bidi="ar"/>
              </w:rPr>
              <w:t>因公出国</w:t>
            </w:r>
          </w:p>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（境）费</w:t>
            </w:r>
          </w:p>
        </w:tc>
        <w:tc>
          <w:tcPr>
            <w:tcW w:w="4260"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公务用车购置及运行费</w:t>
            </w:r>
          </w:p>
        </w:tc>
        <w:tc>
          <w:tcPr>
            <w:tcW w:w="1420"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公务接待费</w:t>
            </w:r>
          </w:p>
        </w:tc>
      </w:tr>
      <w:tr w:rsidR="00265915">
        <w:trPr>
          <w:gridAfter w:val="1"/>
          <w:wAfter w:w="469" w:type="dxa"/>
          <w:trHeight w:val="600"/>
        </w:trPr>
        <w:tc>
          <w:tcPr>
            <w:tcW w:w="88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23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小计</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公务用车购置费</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公务用车运行费</w:t>
            </w:r>
          </w:p>
        </w:tc>
        <w:tc>
          <w:tcPr>
            <w:tcW w:w="14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15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21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42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小计</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公务用车购置费</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公务用车运行费</w:t>
            </w:r>
          </w:p>
        </w:tc>
        <w:tc>
          <w:tcPr>
            <w:tcW w:w="1420"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gridAfter w:val="1"/>
          <w:wAfter w:w="469" w:type="dxa"/>
          <w:trHeight w:val="300"/>
        </w:trPr>
        <w:tc>
          <w:tcPr>
            <w:tcW w:w="88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21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42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9</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11</w:t>
            </w:r>
          </w:p>
        </w:tc>
        <w:tc>
          <w:tcPr>
            <w:tcW w:w="142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w:t>
            </w:r>
          </w:p>
        </w:tc>
      </w:tr>
      <w:tr w:rsidR="00265915">
        <w:trPr>
          <w:gridAfter w:val="1"/>
          <w:wAfter w:w="469" w:type="dxa"/>
          <w:trHeight w:val="300"/>
        </w:trPr>
        <w:tc>
          <w:tcPr>
            <w:tcW w:w="88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140.49</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10.00</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105.99</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18.00</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87.99</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24.50</w:t>
            </w:r>
          </w:p>
        </w:tc>
        <w:tc>
          <w:tcPr>
            <w:tcW w:w="115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98.18</w:t>
            </w:r>
          </w:p>
        </w:tc>
        <w:tc>
          <w:tcPr>
            <w:tcW w:w="121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42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92.35</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18.00</w:t>
            </w:r>
          </w:p>
        </w:tc>
        <w:tc>
          <w:tcPr>
            <w:tcW w:w="1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74.35</w:t>
            </w:r>
          </w:p>
        </w:tc>
        <w:tc>
          <w:tcPr>
            <w:tcW w:w="142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5.83</w:t>
            </w:r>
          </w:p>
        </w:tc>
      </w:tr>
      <w:tr w:rsidR="00265915">
        <w:trPr>
          <w:trHeight w:val="600"/>
        </w:trPr>
        <w:tc>
          <w:tcPr>
            <w:tcW w:w="16317" w:type="dxa"/>
            <w:gridSpan w:val="16"/>
            <w:tcBorders>
              <w:top w:val="nil"/>
              <w:left w:val="nil"/>
              <w:bottom w:val="nil"/>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265915" w:rsidRDefault="00265915">
      <w:pPr>
        <w:widowControl/>
        <w:jc w:val="center"/>
        <w:rPr>
          <w:rFonts w:ascii="Times New Roman" w:eastAsia="方正小标宋_GBK" w:hAnsi="Times New Roman" w:cs="Times New Roman"/>
          <w:color w:val="000000"/>
          <w:kern w:val="0"/>
          <w:sz w:val="36"/>
          <w:szCs w:val="36"/>
        </w:rPr>
      </w:pPr>
    </w:p>
    <w:p w:rsidR="00265915" w:rsidRDefault="00265915">
      <w:pPr>
        <w:widowControl/>
        <w:jc w:val="center"/>
        <w:rPr>
          <w:rFonts w:ascii="Times New Roman" w:eastAsia="方正小标宋_GBK" w:hAnsi="Times New Roman" w:cs="Times New Roman"/>
          <w:color w:val="000000"/>
          <w:kern w:val="0"/>
          <w:sz w:val="36"/>
          <w:szCs w:val="36"/>
        </w:rPr>
      </w:pPr>
    </w:p>
    <w:p w:rsidR="00265915" w:rsidRDefault="00265915">
      <w:pPr>
        <w:widowControl/>
        <w:jc w:val="center"/>
        <w:rPr>
          <w:rFonts w:ascii="Times New Roman" w:eastAsia="方正小标宋_GBK" w:hAnsi="Times New Roman" w:cs="Times New Roman"/>
          <w:color w:val="000000"/>
          <w:kern w:val="0"/>
          <w:sz w:val="36"/>
          <w:szCs w:val="36"/>
        </w:rPr>
      </w:pPr>
    </w:p>
    <w:p w:rsidR="00265915" w:rsidRDefault="00265915">
      <w:pPr>
        <w:widowControl/>
        <w:jc w:val="center"/>
        <w:rPr>
          <w:rFonts w:ascii="Times New Roman" w:eastAsia="方正小标宋_GBK" w:hAnsi="Times New Roman" w:cs="Times New Roman"/>
          <w:color w:val="000000"/>
          <w:kern w:val="0"/>
          <w:sz w:val="36"/>
          <w:szCs w:val="36"/>
        </w:rPr>
      </w:pPr>
    </w:p>
    <w:p w:rsidR="00265915" w:rsidRDefault="00265915">
      <w:pPr>
        <w:widowControl/>
        <w:jc w:val="center"/>
        <w:rPr>
          <w:rFonts w:ascii="Times New Roman" w:eastAsia="方正小标宋_GBK" w:hAnsi="Times New Roman" w:cs="Times New Roman"/>
          <w:color w:val="000000"/>
          <w:kern w:val="0"/>
          <w:sz w:val="36"/>
          <w:szCs w:val="36"/>
        </w:rPr>
      </w:pPr>
    </w:p>
    <w:p w:rsidR="00265915" w:rsidRDefault="00265915">
      <w:pPr>
        <w:widowControl/>
        <w:jc w:val="center"/>
        <w:rPr>
          <w:rFonts w:ascii="Times New Roman" w:eastAsia="方正小标宋_GBK" w:hAnsi="Times New Roman" w:cs="Times New Roman"/>
          <w:color w:val="000000"/>
          <w:kern w:val="0"/>
          <w:sz w:val="36"/>
          <w:szCs w:val="36"/>
        </w:rPr>
      </w:pPr>
    </w:p>
    <w:p w:rsidR="00265915" w:rsidRDefault="00265915">
      <w:pPr>
        <w:widowControl/>
        <w:jc w:val="center"/>
        <w:rPr>
          <w:rFonts w:ascii="Times New Roman" w:eastAsia="方正小标宋_GBK" w:hAnsi="Times New Roman" w:cs="Times New Roman"/>
          <w:color w:val="000000"/>
          <w:kern w:val="0"/>
          <w:sz w:val="36"/>
          <w:szCs w:val="36"/>
        </w:rPr>
      </w:pPr>
    </w:p>
    <w:p w:rsidR="00265915" w:rsidRDefault="00265915">
      <w:pPr>
        <w:widowControl/>
        <w:jc w:val="center"/>
        <w:rPr>
          <w:rFonts w:ascii="Times New Roman" w:eastAsia="方正小标宋_GBK" w:hAnsi="Times New Roman" w:cs="Times New Roman"/>
          <w:color w:val="000000"/>
          <w:kern w:val="0"/>
          <w:sz w:val="36"/>
          <w:szCs w:val="36"/>
        </w:rPr>
      </w:pPr>
    </w:p>
    <w:p w:rsidR="00265915" w:rsidRDefault="00265915">
      <w:pPr>
        <w:widowControl/>
        <w:jc w:val="center"/>
        <w:rPr>
          <w:rFonts w:ascii="Times New Roman" w:eastAsia="方正小标宋_GBK" w:hAnsi="Times New Roman" w:cs="Times New Roman"/>
          <w:color w:val="000000"/>
          <w:kern w:val="0"/>
          <w:sz w:val="36"/>
          <w:szCs w:val="36"/>
        </w:rPr>
      </w:pPr>
    </w:p>
    <w:p w:rsidR="00265915" w:rsidRDefault="00265915">
      <w:pPr>
        <w:widowControl/>
        <w:jc w:val="center"/>
        <w:rPr>
          <w:rFonts w:ascii="Times New Roman" w:eastAsia="方正小标宋_GBK" w:hAnsi="Times New Roman" w:cs="Times New Roman"/>
          <w:color w:val="000000"/>
          <w:kern w:val="0"/>
          <w:sz w:val="36"/>
          <w:szCs w:val="36"/>
        </w:rPr>
      </w:pPr>
    </w:p>
    <w:p w:rsidR="00265915" w:rsidRDefault="00D23F2A">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tbl>
      <w:tblPr>
        <w:tblW w:w="15020" w:type="dxa"/>
        <w:tblLayout w:type="fixed"/>
        <w:tblCellMar>
          <w:left w:w="0" w:type="dxa"/>
          <w:right w:w="0" w:type="dxa"/>
        </w:tblCellMar>
        <w:tblLook w:val="04A0" w:firstRow="1" w:lastRow="0" w:firstColumn="1" w:lastColumn="0" w:noHBand="0" w:noVBand="1"/>
      </w:tblPr>
      <w:tblGrid>
        <w:gridCol w:w="1020"/>
        <w:gridCol w:w="3920"/>
        <w:gridCol w:w="1680"/>
        <w:gridCol w:w="1680"/>
        <w:gridCol w:w="1680"/>
        <w:gridCol w:w="1680"/>
        <w:gridCol w:w="1680"/>
        <w:gridCol w:w="1680"/>
      </w:tblGrid>
      <w:tr w:rsidR="00265915">
        <w:trPr>
          <w:trHeight w:val="300"/>
        </w:trPr>
        <w:tc>
          <w:tcPr>
            <w:tcW w:w="4940" w:type="dxa"/>
            <w:gridSpan w:val="2"/>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部门：湖南省体育局</w:t>
            </w:r>
          </w:p>
        </w:tc>
        <w:tc>
          <w:tcPr>
            <w:tcW w:w="168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2021年度</w:t>
            </w:r>
          </w:p>
        </w:tc>
        <w:tc>
          <w:tcPr>
            <w:tcW w:w="168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68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68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680" w:type="dxa"/>
            <w:tcBorders>
              <w:top w:val="nil"/>
              <w:left w:val="nil"/>
              <w:bottom w:val="single" w:sz="4" w:space="0" w:color="808080"/>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p>
        </w:tc>
        <w:tc>
          <w:tcPr>
            <w:tcW w:w="1680" w:type="dxa"/>
            <w:tcBorders>
              <w:top w:val="nil"/>
              <w:left w:val="nil"/>
              <w:bottom w:val="single" w:sz="4" w:space="0" w:color="808080"/>
              <w:right w:val="single" w:sz="4" w:space="0" w:color="80808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金额单位：万元</w:t>
            </w:r>
          </w:p>
        </w:tc>
      </w:tr>
      <w:tr w:rsidR="00265915">
        <w:trPr>
          <w:trHeight w:val="300"/>
        </w:trPr>
        <w:tc>
          <w:tcPr>
            <w:tcW w:w="494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项目</w:t>
            </w:r>
          </w:p>
        </w:tc>
        <w:tc>
          <w:tcPr>
            <w:tcW w:w="168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年初结转和结余</w:t>
            </w:r>
          </w:p>
        </w:tc>
        <w:tc>
          <w:tcPr>
            <w:tcW w:w="168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本年收入</w:t>
            </w:r>
          </w:p>
        </w:tc>
        <w:tc>
          <w:tcPr>
            <w:tcW w:w="504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本年支出</w:t>
            </w:r>
          </w:p>
        </w:tc>
        <w:tc>
          <w:tcPr>
            <w:tcW w:w="168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年末结转和结余</w:t>
            </w:r>
          </w:p>
        </w:tc>
      </w:tr>
      <w:tr w:rsidR="00265915">
        <w:trPr>
          <w:trHeight w:val="312"/>
        </w:trPr>
        <w:tc>
          <w:tcPr>
            <w:tcW w:w="102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功能分类科目编码</w:t>
            </w:r>
          </w:p>
        </w:tc>
        <w:tc>
          <w:tcPr>
            <w:tcW w:w="39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科目名称</w:t>
            </w: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小计</w:t>
            </w:r>
          </w:p>
        </w:tc>
        <w:tc>
          <w:tcPr>
            <w:tcW w:w="168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基本支出</w:t>
            </w:r>
          </w:p>
        </w:tc>
        <w:tc>
          <w:tcPr>
            <w:tcW w:w="168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项目支出</w:t>
            </w: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trHeight w:val="312"/>
        </w:trPr>
        <w:tc>
          <w:tcPr>
            <w:tcW w:w="102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3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trHeight w:val="312"/>
        </w:trPr>
        <w:tc>
          <w:tcPr>
            <w:tcW w:w="102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3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c>
          <w:tcPr>
            <w:tcW w:w="16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265915">
            <w:pPr>
              <w:jc w:val="center"/>
              <w:rPr>
                <w:rFonts w:ascii="宋体" w:eastAsia="宋体" w:hAnsi="宋体" w:cs="宋体"/>
                <w:sz w:val="20"/>
                <w:szCs w:val="20"/>
              </w:rPr>
            </w:pPr>
          </w:p>
        </w:tc>
      </w:tr>
      <w:tr w:rsidR="00265915">
        <w:trPr>
          <w:trHeight w:val="300"/>
        </w:trPr>
        <w:tc>
          <w:tcPr>
            <w:tcW w:w="494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栏次</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r>
      <w:tr w:rsidR="00265915">
        <w:trPr>
          <w:trHeight w:val="300"/>
        </w:trPr>
        <w:tc>
          <w:tcPr>
            <w:tcW w:w="494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合计</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5,923.26</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15,300.47</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17,286.50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17,286.50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3,937.22</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229</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其他支出</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5,923.26</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15,300.47</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17,286.50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17,286.50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3,937.22</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lastRenderedPageBreak/>
              <w:t>22960</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b/>
                <w:sz w:val="20"/>
                <w:szCs w:val="20"/>
              </w:rPr>
            </w:pPr>
            <w:r>
              <w:rPr>
                <w:rFonts w:ascii="宋体" w:eastAsia="宋体" w:hAnsi="宋体" w:cs="宋体" w:hint="eastAsia"/>
                <w:b/>
                <w:kern w:val="0"/>
                <w:sz w:val="20"/>
                <w:szCs w:val="20"/>
                <w:lang w:bidi="ar"/>
              </w:rPr>
              <w:t>彩票公益金安排的支出</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5,923.26</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15,300.47</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17,286.50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0.00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17,286.50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b/>
                <w:sz w:val="20"/>
                <w:szCs w:val="20"/>
              </w:rPr>
            </w:pPr>
            <w:r>
              <w:rPr>
                <w:rFonts w:ascii="宋体" w:eastAsia="宋体" w:hAnsi="宋体" w:cs="宋体" w:hint="eastAsia"/>
                <w:b/>
                <w:kern w:val="0"/>
                <w:sz w:val="20"/>
                <w:szCs w:val="20"/>
                <w:lang w:bidi="ar"/>
              </w:rPr>
              <w:t>3,937.22</w:t>
            </w:r>
          </w:p>
        </w:tc>
      </w:tr>
      <w:tr w:rsidR="00265915">
        <w:trPr>
          <w:trHeight w:val="300"/>
        </w:trPr>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2296003</w:t>
            </w:r>
          </w:p>
        </w:tc>
        <w:tc>
          <w:tcPr>
            <w:tcW w:w="3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用于体育事业的彩票公益金支出</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5,923.26</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15,300.47</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17,286.50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0.00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17,286.50</w:t>
            </w:r>
          </w:p>
        </w:tc>
        <w:tc>
          <w:tcPr>
            <w:tcW w:w="16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65915" w:rsidRDefault="00D23F2A">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3,937.22</w:t>
            </w:r>
          </w:p>
        </w:tc>
      </w:tr>
      <w:tr w:rsidR="00265915">
        <w:trPr>
          <w:trHeight w:val="300"/>
        </w:trPr>
        <w:tc>
          <w:tcPr>
            <w:tcW w:w="15020" w:type="dxa"/>
            <w:gridSpan w:val="8"/>
            <w:tcBorders>
              <w:top w:val="nil"/>
              <w:left w:val="nil"/>
              <w:bottom w:val="nil"/>
              <w:right w:val="nil"/>
            </w:tcBorders>
            <w:shd w:val="clear" w:color="auto" w:fill="auto"/>
            <w:tcMar>
              <w:top w:w="15" w:type="dxa"/>
              <w:left w:w="15" w:type="dxa"/>
              <w:right w:w="15" w:type="dxa"/>
            </w:tcMar>
            <w:vAlign w:val="center"/>
          </w:tcPr>
          <w:p w:rsidR="00265915" w:rsidRDefault="00D23F2A">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注：本表反映部门本年度政府性基金预算财政拨款收入、支出及结转和结余情况。</w:t>
            </w:r>
          </w:p>
        </w:tc>
      </w:tr>
    </w:tbl>
    <w:p w:rsidR="00265915" w:rsidRDefault="00265915">
      <w:pPr>
        <w:widowControl/>
        <w:jc w:val="left"/>
        <w:rPr>
          <w:rFonts w:ascii="黑体" w:eastAsia="黑体" w:hAnsi="黑体"/>
          <w:szCs w:val="21"/>
        </w:rPr>
      </w:pPr>
    </w:p>
    <w:p w:rsidR="00265915" w:rsidRDefault="00265915">
      <w:pPr>
        <w:widowControl/>
        <w:jc w:val="left"/>
        <w:rPr>
          <w:rFonts w:ascii="黑体" w:eastAsia="黑体" w:hAnsi="黑体"/>
          <w:szCs w:val="21"/>
        </w:rPr>
      </w:pPr>
    </w:p>
    <w:p w:rsidR="00265915" w:rsidRDefault="00265915">
      <w:pPr>
        <w:pStyle w:val="Default"/>
        <w:rPr>
          <w:sz w:val="72"/>
          <w:szCs w:val="72"/>
        </w:rPr>
        <w:sectPr w:rsidR="00265915">
          <w:pgSz w:w="16838" w:h="11906" w:orient="landscape"/>
          <w:pgMar w:top="720" w:right="720" w:bottom="720" w:left="720" w:header="851" w:footer="992" w:gutter="0"/>
          <w:cols w:space="425"/>
          <w:docGrid w:type="lines" w:linePitch="312"/>
        </w:sectPr>
      </w:pPr>
    </w:p>
    <w:p w:rsidR="00265915" w:rsidRDefault="00265915">
      <w:pPr>
        <w:pStyle w:val="Default"/>
        <w:rPr>
          <w:sz w:val="72"/>
          <w:szCs w:val="72"/>
        </w:rPr>
      </w:pPr>
    </w:p>
    <w:p w:rsidR="00265915" w:rsidRDefault="00265915">
      <w:pPr>
        <w:pStyle w:val="Default"/>
        <w:rPr>
          <w:sz w:val="72"/>
          <w:szCs w:val="72"/>
        </w:rPr>
      </w:pPr>
    </w:p>
    <w:p w:rsidR="00265915" w:rsidRDefault="00265915">
      <w:pPr>
        <w:pStyle w:val="Default"/>
        <w:rPr>
          <w:sz w:val="72"/>
          <w:szCs w:val="72"/>
        </w:rPr>
      </w:pPr>
    </w:p>
    <w:p w:rsidR="00265915" w:rsidRDefault="00265915">
      <w:pPr>
        <w:pStyle w:val="Default"/>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D23F2A">
      <w:pPr>
        <w:pStyle w:val="Default"/>
        <w:jc w:val="center"/>
        <w:rPr>
          <w:sz w:val="72"/>
          <w:szCs w:val="72"/>
        </w:rPr>
      </w:pPr>
      <w:r>
        <w:rPr>
          <w:rFonts w:hint="eastAsia"/>
          <w:sz w:val="72"/>
          <w:szCs w:val="72"/>
        </w:rPr>
        <w:t>第三部分</w:t>
      </w:r>
    </w:p>
    <w:p w:rsidR="00265915" w:rsidRDefault="00265915">
      <w:pPr>
        <w:pStyle w:val="Default"/>
        <w:jc w:val="center"/>
        <w:rPr>
          <w:sz w:val="70"/>
          <w:szCs w:val="70"/>
        </w:rPr>
      </w:pPr>
    </w:p>
    <w:p w:rsidR="00265915" w:rsidRDefault="00D23F2A">
      <w:pPr>
        <w:pStyle w:val="Default"/>
        <w:jc w:val="center"/>
        <w:rPr>
          <w:sz w:val="70"/>
          <w:szCs w:val="70"/>
        </w:rPr>
      </w:pPr>
      <w:r>
        <w:rPr>
          <w:sz w:val="70"/>
          <w:szCs w:val="70"/>
        </w:rPr>
        <w:t>20</w:t>
      </w:r>
      <w:r>
        <w:rPr>
          <w:rFonts w:hint="eastAsia"/>
          <w:sz w:val="70"/>
          <w:szCs w:val="70"/>
        </w:rPr>
        <w:t>21年度部门决算情况说明</w:t>
      </w:r>
    </w:p>
    <w:p w:rsidR="00265915" w:rsidRDefault="00D23F2A">
      <w:pPr>
        <w:widowControl/>
        <w:jc w:val="left"/>
        <w:rPr>
          <w:rFonts w:ascii="黑体" w:eastAsia="黑体" w:cs="黑体"/>
          <w:color w:val="000000"/>
          <w:kern w:val="0"/>
          <w:sz w:val="70"/>
          <w:szCs w:val="70"/>
        </w:rPr>
      </w:pPr>
      <w:r>
        <w:rPr>
          <w:sz w:val="70"/>
          <w:szCs w:val="70"/>
        </w:rPr>
        <w:br w:type="page"/>
      </w:r>
    </w:p>
    <w:p w:rsidR="00265915" w:rsidRDefault="00265915">
      <w:pPr>
        <w:pStyle w:val="Default"/>
        <w:rPr>
          <w:rFonts w:asciiTheme="minorEastAsia" w:eastAsiaTheme="minorEastAsia" w:hAnsiTheme="minorEastAsia"/>
          <w:sz w:val="32"/>
          <w:szCs w:val="32"/>
        </w:rPr>
      </w:pPr>
    </w:p>
    <w:p w:rsidR="00265915" w:rsidRDefault="00D23F2A">
      <w:pPr>
        <w:pStyle w:val="Default"/>
        <w:rPr>
          <w:rFonts w:hAnsi="黑体"/>
          <w:b/>
          <w:sz w:val="32"/>
          <w:szCs w:val="32"/>
        </w:rPr>
      </w:pPr>
      <w:r>
        <w:rPr>
          <w:rFonts w:hAnsi="黑体" w:hint="eastAsia"/>
          <w:b/>
          <w:sz w:val="32"/>
          <w:szCs w:val="32"/>
        </w:rPr>
        <w:t>一、收入支出决算总体情况说明</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收、支总计72663.67万元。与上年相比，减少9522.62万元，减少11.59%，主要是因为一是本年收入较上年度减少3629.99万元，减少5.48%，其中，一般公共预算财政拨款增长3550.53万元，增长8.7%；政府性基金财政拨款减少6218.18万元，减少28.89%；事业收入减少567.12万元，减少16.36%；经营收入减少130.66万元，减少61.89%；其他收入减少264.56万元，减少85.46%。二是年初结转和结余资金较上年减少5982.76万元，减少37.88%，本年使用非财政拨款结余较上年增长90.14万元，增长82%。</w:t>
      </w:r>
    </w:p>
    <w:p w:rsidR="00265915" w:rsidRDefault="00D23F2A">
      <w:pPr>
        <w:pStyle w:val="Default"/>
        <w:rPr>
          <w:rFonts w:hAnsi="黑体"/>
          <w:b/>
          <w:sz w:val="32"/>
          <w:szCs w:val="32"/>
        </w:rPr>
      </w:pPr>
      <w:r>
        <w:rPr>
          <w:rFonts w:hAnsi="黑体" w:hint="eastAsia"/>
          <w:b/>
          <w:sz w:val="32"/>
          <w:szCs w:val="32"/>
        </w:rPr>
        <w:t>二、收入决算情况说明</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2021年度收入合计62653.9万元，其中：财政拨款收入59628.77万元，占95.17%；事业收入2899.67万元，占4.63%；经营收入80.44万元，占0.13%；其他收入45.01万元，占0.07%。</w:t>
      </w:r>
    </w:p>
    <w:p w:rsidR="00265915" w:rsidRDefault="00D23F2A">
      <w:pPr>
        <w:pStyle w:val="Default"/>
        <w:rPr>
          <w:rFonts w:hAnsi="黑体"/>
          <w:b/>
          <w:sz w:val="32"/>
          <w:szCs w:val="32"/>
        </w:rPr>
      </w:pPr>
      <w:r>
        <w:rPr>
          <w:rFonts w:hAnsi="黑体" w:hint="eastAsia"/>
          <w:b/>
          <w:sz w:val="32"/>
          <w:szCs w:val="32"/>
        </w:rPr>
        <w:t>三、支出决算情况说明</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2021年度支出合计64829.67万元，其中：基本支出28795.71万元，占44.42%；项目支出35998.91万元，占55.53%；经营支出35.05万元，占0.05%。</w:t>
      </w:r>
    </w:p>
    <w:p w:rsidR="00265915" w:rsidRDefault="00D23F2A">
      <w:pPr>
        <w:pStyle w:val="Default"/>
        <w:rPr>
          <w:rFonts w:hAnsi="黑体"/>
          <w:b/>
          <w:sz w:val="32"/>
          <w:szCs w:val="32"/>
        </w:rPr>
      </w:pPr>
      <w:r>
        <w:rPr>
          <w:rFonts w:hAnsi="黑体" w:hint="eastAsia"/>
          <w:b/>
          <w:sz w:val="32"/>
          <w:szCs w:val="32"/>
        </w:rPr>
        <w:t>四、财政拨款收入支出决算总体情况说明</w:t>
      </w:r>
    </w:p>
    <w:p w:rsidR="00265915" w:rsidRDefault="00D23F2A">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2021年度财政拨款收、支总计69143.75万元，与上年相比，减少8492.45万元,减少10.94%，主要是因为一般公共预算财政拨款增长3550.53万元，增长8.71%；政府性基金预算财政拨款减少6218.18万元，减少28.89%；年初财政拨款结转和结余减少5824.81万元，减少37.97%。</w:t>
      </w:r>
    </w:p>
    <w:p w:rsidR="00265915" w:rsidRDefault="00D23F2A">
      <w:pPr>
        <w:pStyle w:val="Default"/>
        <w:rPr>
          <w:rFonts w:hAnsi="黑体"/>
          <w:b/>
          <w:sz w:val="32"/>
          <w:szCs w:val="32"/>
        </w:rPr>
      </w:pPr>
      <w:r>
        <w:rPr>
          <w:rFonts w:hAnsi="黑体" w:hint="eastAsia"/>
          <w:b/>
          <w:sz w:val="32"/>
          <w:szCs w:val="32"/>
        </w:rPr>
        <w:t>五、一般公共预算财政拨款支出决算情况说明</w:t>
      </w:r>
    </w:p>
    <w:p w:rsidR="00265915" w:rsidRDefault="00D23F2A" w:rsidP="00D23F2A">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2021年度财政拨款支出44478.94万元，占本年支出合计的68.61%，与</w:t>
      </w:r>
      <w:r>
        <w:rPr>
          <w:rFonts w:asciiTheme="minorEastAsia" w:eastAsiaTheme="minorEastAsia" w:hAnsiTheme="minorEastAsia" w:hint="eastAsia"/>
          <w:sz w:val="32"/>
          <w:szCs w:val="32"/>
        </w:rPr>
        <w:lastRenderedPageBreak/>
        <w:t>上年相比，财政拨款支出增加3949.25万元，增长9.74%，主要是因为一般公共服务（类）支出与上年相比增长330.65万元，增长100%；教育（类）支出与上年相比增长1275.64万元，增长23.99%；文化旅游体育与传媒（类）支出与上年相比增长1585.62万元，增长5.08%；社会保障和就业（类）支出与上年相比减少232.11万元，减少11.44%；卫生健康（类）支出与上年相比增长942.92万元，增长222.33%；住房保障（类）支出上年相比增长16.53万元，增长1.09%。</w:t>
      </w:r>
    </w:p>
    <w:p w:rsidR="00265915" w:rsidRDefault="00D23F2A" w:rsidP="00D23F2A">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财政拨款支出44478.94万元，主要用于以下方面：一般公共服务（类）支出330.65万元，占0.74%；教育（类）支出6594.02万元，占14.83%；文化旅游体育与传媒（类）支出32825.26万元，占73.8%；社会保障和就业（类）支出1796.47万元，占4.04%；卫生健康（类）支出1367.02万元，占3.07%；节能环保（类）支出30万元，占0.07%；住房保障（类）支出1535.52万元，占3.45%。</w:t>
      </w:r>
    </w:p>
    <w:p w:rsidR="00265915" w:rsidRDefault="00D23F2A" w:rsidP="00D23F2A">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2021年度财政拨款支出年初预算数为41009.33万元，支出决算数为44478.94万元，完成年初预算的108.47%，其中：</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1、一般公共服务支出（类）发展与改革事务（款）其他发展与改革事务支出（项）。</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年初预算为210万元，支出决算为210万元，完成年初预算的100%。</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2、一般公共服务支出（类）其他一般公共服务支出（款）其他一般公共服务支出（项）。</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年初预算为0万元，支出决算为120.65万元。由于预算数为0，无法计算百分比。决算数大于年初预算数的主要原因是年中省直单位特殊信息化建</w:t>
      </w:r>
      <w:r>
        <w:rPr>
          <w:rFonts w:asciiTheme="minorEastAsia" w:eastAsiaTheme="minorEastAsia" w:hAnsiTheme="minorEastAsia" w:hint="eastAsia"/>
          <w:sz w:val="32"/>
          <w:szCs w:val="32"/>
        </w:rPr>
        <w:lastRenderedPageBreak/>
        <w:t>设项目。</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3、教育支出（类）职业教育（款）中专教育（项）。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年初预算为4.7万元，支出决算为101.2万元，</w:t>
      </w:r>
      <w:r>
        <w:rPr>
          <w:rFonts w:asciiTheme="minorEastAsia" w:hAnsiTheme="minorEastAsia" w:hint="eastAsia"/>
          <w:sz w:val="32"/>
          <w:szCs w:val="32"/>
        </w:rPr>
        <w:t>完成年初预算的2153.19%</w:t>
      </w:r>
      <w:r>
        <w:rPr>
          <w:rFonts w:asciiTheme="minorEastAsia" w:hAnsiTheme="minorEastAsia" w:cs="黑体" w:hint="eastAsia"/>
          <w:color w:val="000000"/>
          <w:kern w:val="0"/>
          <w:sz w:val="32"/>
          <w:szCs w:val="32"/>
        </w:rPr>
        <w:t>。决算数大于年初预算数的主要原因是：年中追加中职专项助学金以及免学费资金。</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4、教育支出（类）职业教育（款）高等职业教育（项）。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年初预算为6015.13万元，支出决算为6492.34万元，</w:t>
      </w:r>
      <w:r>
        <w:rPr>
          <w:rFonts w:asciiTheme="minorEastAsia" w:hAnsiTheme="minorEastAsia" w:hint="eastAsia"/>
          <w:sz w:val="32"/>
          <w:szCs w:val="32"/>
        </w:rPr>
        <w:t>完成年初预算的107.93%</w:t>
      </w:r>
      <w:r>
        <w:rPr>
          <w:rFonts w:asciiTheme="minorEastAsia" w:hAnsiTheme="minorEastAsia" w:cs="黑体" w:hint="eastAsia"/>
          <w:color w:val="000000"/>
          <w:kern w:val="0"/>
          <w:sz w:val="32"/>
          <w:szCs w:val="32"/>
        </w:rPr>
        <w:t>。决算数大于年初预算数的主要原因是：</w:t>
      </w:r>
      <w:r>
        <w:rPr>
          <w:rFonts w:asciiTheme="minorEastAsia" w:hAnsiTheme="minorEastAsia" w:hint="eastAsia"/>
          <w:sz w:val="32"/>
          <w:szCs w:val="32"/>
        </w:rPr>
        <w:t>年中追加双一流专项、教育综合发展专项、学生资助补助经费专项等</w:t>
      </w:r>
      <w:r>
        <w:rPr>
          <w:rFonts w:asciiTheme="minorEastAsia" w:hAnsiTheme="minorEastAsia" w:cs="黑体" w:hint="eastAsia"/>
          <w:color w:val="000000"/>
          <w:kern w:val="0"/>
          <w:sz w:val="32"/>
          <w:szCs w:val="32"/>
        </w:rPr>
        <w:t>。</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5、教育支出（类）进修及培训（款）培训支出（项）。</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年初预算为10万元，支出决算为0.48万元，完成年初预算的</w:t>
      </w:r>
      <w:r>
        <w:rPr>
          <w:rFonts w:asciiTheme="minorEastAsia" w:hAnsiTheme="minorEastAsia" w:hint="eastAsia"/>
          <w:sz w:val="32"/>
          <w:szCs w:val="32"/>
        </w:rPr>
        <w:t>0</w:t>
      </w:r>
      <w:r>
        <w:rPr>
          <w:rFonts w:asciiTheme="minorEastAsia" w:eastAsiaTheme="minorEastAsia" w:hAnsiTheme="minorEastAsia" w:hint="eastAsia"/>
          <w:sz w:val="32"/>
          <w:szCs w:val="32"/>
        </w:rPr>
        <w:t>%。决算数小于年初预算数的主要原因：2021年受新冠疫情影响，相关培训减少。</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6、文化体育与传媒支出（类）体育（款）行政运行（项）。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年初预算为2035.05万元，支出决算为1651.74万元，完成年初预算81.16%。决算数小于预算数的主要原因是：2021年度绩效奖金政策调整，机关人员年度奖金年末未发放。</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7、文化体育与传媒支出（类）体育（款）一般行政管理事务（项）。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年初预算为505.6万元，支出决算为265.77万元，年初预算完成52.57%，决算数小于预算数的主要原因是：</w:t>
      </w:r>
      <w:r>
        <w:rPr>
          <w:rFonts w:asciiTheme="minorEastAsia" w:hAnsiTheme="minorEastAsia" w:hint="eastAsia"/>
          <w:sz w:val="32"/>
          <w:szCs w:val="32"/>
        </w:rPr>
        <w:t>2021年受新冠疫情影响</w:t>
      </w:r>
      <w:r>
        <w:rPr>
          <w:rFonts w:asciiTheme="minorEastAsia" w:hAnsiTheme="minorEastAsia" w:cs="黑体" w:hint="eastAsia"/>
          <w:color w:val="000000"/>
          <w:kern w:val="0"/>
          <w:sz w:val="32"/>
          <w:szCs w:val="32"/>
        </w:rPr>
        <w:t>，部分项目未按计划实施，项目资金结转。</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8、文化体育与传媒支出（类）体育（款）机关服务（项）。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年初预算为970.3万元，支出决算为692.47万元，完成年初预算71.37%，决算数小于预算数的主要原因是：2021年度绩效奖金政策调整，机关后勤人员年度奖金年末未发放。</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9、文化体育与传媒支出（类）体育（款）运动项目管理（项）。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年初预算为13410.75万元，支出决算为13297.84万元，完成年初预算99.16%。</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10、文化体育与传媒支出（类）体育（款）体育竞赛（项）。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年初预算为3915万元，支出决算为3642.95万元，完成年初预算93.05%。决算数小于预算数的主要原因是：2021年湖南省青少年足球俱乐部联赛等赛事活动于12月份才开展，年末未达到付款条件，项目资金结转。</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11、文化体育与传媒支出（类）体育（款）体育场馆（项）。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年初预算为2735.59万元，支出决算为2320.36万元，完成年初预算96.78%。决算数小于预算数的主要原因是：湖南贺龙体育馆纳入预算管理非</w:t>
      </w:r>
      <w:proofErr w:type="gramStart"/>
      <w:r>
        <w:rPr>
          <w:rFonts w:asciiTheme="minorEastAsia" w:hAnsiTheme="minorEastAsia" w:cs="黑体" w:hint="eastAsia"/>
          <w:color w:val="000000"/>
          <w:kern w:val="0"/>
          <w:sz w:val="32"/>
          <w:szCs w:val="32"/>
        </w:rPr>
        <w:t>税收入短收</w:t>
      </w:r>
      <w:proofErr w:type="gramEnd"/>
      <w:r>
        <w:rPr>
          <w:rFonts w:asciiTheme="minorEastAsia" w:hAnsiTheme="minorEastAsia" w:cs="黑体" w:hint="eastAsia"/>
          <w:color w:val="000000"/>
          <w:kern w:val="0"/>
          <w:sz w:val="32"/>
          <w:szCs w:val="32"/>
        </w:rPr>
        <w:t>，待扣回款项结余</w:t>
      </w:r>
      <w:r>
        <w:rPr>
          <w:rFonts w:asciiTheme="minorEastAsia" w:hAnsiTheme="minorEastAsia" w:hint="eastAsia"/>
          <w:sz w:val="32"/>
          <w:szCs w:val="32"/>
        </w:rPr>
        <w:t>。</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12、文化体育与传媒支出（类）体育（款）体育交流与合作（项）。</w:t>
      </w:r>
    </w:p>
    <w:p w:rsidR="00265915" w:rsidRDefault="00D23F2A">
      <w:pPr>
        <w:widowControl/>
        <w:ind w:firstLineChars="250" w:firstLine="800"/>
        <w:rPr>
          <w:rFonts w:asciiTheme="minorEastAsia" w:hAnsiTheme="minorEastAsia"/>
          <w:sz w:val="32"/>
          <w:szCs w:val="32"/>
        </w:rPr>
      </w:pPr>
      <w:r>
        <w:rPr>
          <w:rFonts w:asciiTheme="minorEastAsia" w:hAnsiTheme="minorEastAsia" w:cs="黑体" w:hint="eastAsia"/>
          <w:color w:val="000000"/>
          <w:kern w:val="0"/>
          <w:sz w:val="32"/>
          <w:szCs w:val="32"/>
        </w:rPr>
        <w:t>年初预算为167.55万元，支出决算为140.49万元，完成年初预算</w:t>
      </w:r>
      <w:r>
        <w:rPr>
          <w:rFonts w:asciiTheme="minorEastAsia" w:hAnsiTheme="minorEastAsia" w:hint="eastAsia"/>
          <w:sz w:val="32"/>
          <w:szCs w:val="32"/>
        </w:rPr>
        <w:t>83.85%。决算数小于预算数的主要原因2021年国家职业资格考试政策调整，除高危项目外，其他项目全部退出了国家职业资格考试范围，加之疫情影响，我省开展的体育行业国家职业资格鉴定考试项目、批次及人数大幅减少，“体育行业特有工种职业技能鉴定”专项资金部分结余。</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13、文化体育与传媒支出（类）体育（款）其他体育支出（项）。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年初预算为4650.74万元，支出决算为5940.94万元，完成年初预算127.74%。决算数大于预算数的主要原因是：部分项目资金按进度付款，未达到付款条件，年底项目资金结转。</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14、文化体育与传媒支出（类）其他文化体育与传媒支出（款）其他文化体育与传媒支出（项）。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年初预算为1674.4万元，支出决算为4872.69万元，完成年初预算291%。决算数大于预算数的主要原因是：年中追加中央支持地方公共文化服务体系建设补助资金和绩效奖励资金。</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15、社会保障和就业支出（类）行政事业单位养老支出（款）行政单位离退休（项）。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年初预算为117万元，支出决算为102.56万元，完成年初预算87.66%。决算数小于预算数的主要：2021年度绩效奖金政策调整，机关离退休人员年度奖金年末未发放。</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16、社会保障和就业支出（类）行政事业单位养老支出（款）事业单位离退休（项）。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年初预算为13.48万元，支出决算为13.48万元，完成年初预算100%。</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17、社会保障和就业支出（类）行政事业单位养老支出（款）机关事业单位基本养老保险缴费支出（项）。</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年初预算为1568.1万元，支出决算为1594.77万元，完成年初预算101.7%。决算数小于预算数的主要：省举重运动管理中心和省网球足球运动管理中心指标调剂。</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18、社会保障和就业支出（类）行政事业单位养老支出（款）机关事业单位职业年金缴费支出（项）。</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年初预算为63.9万元，支出决算为63.75万元，完成年初预算99.77%。</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19、社会保障和就业支出（类）就业补助（款）就业创业服务补贴（项）。</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年初预算为7.7万元，支出决算为7.7万元，完成年初预算100%。</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20、社会保障和就业支出（类）其他社会保障和就业支出（款）其他社会保障和就业支出（项）。</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年初预算为14.28万元，支出决算为14.2万元，完成年初预算99.44%。</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21、卫生健康支出（类）公立医院（款）其他专科医院（项）。</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年初预算为384.6万元，支出决算为384.6万元，完成年初预算100%。</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22、卫生健康支出（类）行政事业单位医疗（款）行政单位医疗（项）。</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年初预算为136.2万元，支出决算为136.2万元，完成年初预算100%。</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23、卫生健康支出（类）行政事业单位医疗（款）事业单位医疗（项）。</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年初预算为849.01万元，支出决算为845.43万元，完成年初预算99.58%。</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24、卫生健康支出（类）其他卫生健康支出（款）其他卫生健康支出（项）。</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年初预算为0万元，支出决算为0.8万元。</w:t>
      </w:r>
      <w:r>
        <w:rPr>
          <w:rFonts w:asciiTheme="minorEastAsia" w:hAnsiTheme="minorEastAsia" w:hint="eastAsia"/>
          <w:sz w:val="32"/>
          <w:szCs w:val="32"/>
        </w:rPr>
        <w:t>由于预算数为0，无法计算百分比。</w:t>
      </w:r>
      <w:r>
        <w:rPr>
          <w:rFonts w:asciiTheme="minorEastAsia" w:hAnsiTheme="minorEastAsia" w:cs="黑体" w:hint="eastAsia"/>
          <w:color w:val="000000"/>
          <w:kern w:val="0"/>
          <w:sz w:val="32"/>
          <w:szCs w:val="32"/>
        </w:rPr>
        <w:t>决算数大于预算数的主要：</w:t>
      </w:r>
      <w:r w:rsidR="00B150F8">
        <w:rPr>
          <w:rFonts w:asciiTheme="minorEastAsia" w:hAnsiTheme="minorEastAsia" w:cs="黑体" w:hint="eastAsia"/>
          <w:color w:val="000000"/>
          <w:kern w:val="0"/>
          <w:sz w:val="32"/>
          <w:szCs w:val="32"/>
        </w:rPr>
        <w:t>局本级年中追加中华人民共和国成立</w:t>
      </w:r>
      <w:r>
        <w:rPr>
          <w:rFonts w:asciiTheme="minorEastAsia" w:hAnsiTheme="minorEastAsia" w:cs="黑体" w:hint="eastAsia"/>
          <w:color w:val="000000"/>
          <w:kern w:val="0"/>
          <w:sz w:val="32"/>
          <w:szCs w:val="32"/>
        </w:rPr>
        <w:t>初期参加革命工作的部门退休干部生活和医疗补贴提标资金（2019-2020年度）。</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25、节能环保支出（类）能源节约利用（款）能源节约利用（项）。</w:t>
      </w:r>
    </w:p>
    <w:p w:rsidR="00265915" w:rsidRDefault="00D23F2A">
      <w:pPr>
        <w:widowControl/>
        <w:ind w:firstLineChars="250" w:firstLine="80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年初预算为0万元，支出决算为30万元。</w:t>
      </w:r>
      <w:r>
        <w:rPr>
          <w:rFonts w:asciiTheme="minorEastAsia" w:hAnsiTheme="minorEastAsia" w:hint="eastAsia"/>
          <w:sz w:val="32"/>
          <w:szCs w:val="32"/>
        </w:rPr>
        <w:t>由于预算数为0，无法计算百分比。</w:t>
      </w:r>
      <w:r>
        <w:rPr>
          <w:rFonts w:asciiTheme="minorEastAsia" w:hAnsiTheme="minorEastAsia" w:cs="黑体" w:hint="eastAsia"/>
          <w:color w:val="000000"/>
          <w:kern w:val="0"/>
          <w:sz w:val="32"/>
          <w:szCs w:val="32"/>
        </w:rPr>
        <w:t>决算数大于预算数的主要原因是：湖南省体育场年中追加场内节能减排、灯光改造专项资金。</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26、住房保障支出（类）住房改革支出（款）住房公积金（项）。</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年初预算为1515.5万元，支出决算为1504.56万元，完成年初预算99.28%。</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27、住房保障支出（类）住房改革支出（款）购房补贴（项）。</w:t>
      </w:r>
    </w:p>
    <w:p w:rsidR="00265915" w:rsidRDefault="00D23F2A">
      <w:pPr>
        <w:widowControl/>
        <w:ind w:firstLineChars="200" w:firstLine="640"/>
        <w:rPr>
          <w:rFonts w:ascii="仿宋_GB2312"/>
          <w:kern w:val="0"/>
          <w:sz w:val="32"/>
          <w:szCs w:val="32"/>
        </w:rPr>
      </w:pPr>
      <w:r>
        <w:rPr>
          <w:rFonts w:asciiTheme="minorEastAsia" w:hAnsiTheme="minorEastAsia" w:cs="黑体" w:hint="eastAsia"/>
          <w:color w:val="000000"/>
          <w:kern w:val="0"/>
          <w:sz w:val="32"/>
          <w:szCs w:val="32"/>
        </w:rPr>
        <w:t>年初预算为31.75万元，支出决算为30.96万元，完成年初预算97.51%。</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28、灾害防治及应急管理支出（类）应急管理事务（款）其他应急管理支出（项）。</w:t>
      </w:r>
    </w:p>
    <w:p w:rsidR="00265915" w:rsidRDefault="00D23F2A">
      <w:pPr>
        <w:widowControl/>
        <w:ind w:firstLineChars="200" w:firstLine="640"/>
        <w:rPr>
          <w:rFonts w:asciiTheme="minorEastAsia" w:hAnsiTheme="minorEastAsia"/>
          <w:sz w:val="32"/>
          <w:szCs w:val="32"/>
        </w:rPr>
      </w:pPr>
      <w:r>
        <w:rPr>
          <w:rFonts w:asciiTheme="minorEastAsia" w:hAnsiTheme="minorEastAsia" w:cs="黑体" w:hint="eastAsia"/>
          <w:color w:val="000000"/>
          <w:kern w:val="0"/>
          <w:sz w:val="32"/>
          <w:szCs w:val="32"/>
        </w:rPr>
        <w:lastRenderedPageBreak/>
        <w:t>年初预算为3万元，支出决算为0万元。决算数小于预算数的主要原因是：年度工作安排调整，项目款项暂未支付。</w:t>
      </w:r>
    </w:p>
    <w:p w:rsidR="00265915" w:rsidRDefault="00D23F2A">
      <w:pPr>
        <w:pStyle w:val="Default"/>
        <w:rPr>
          <w:rFonts w:hAnsi="黑体"/>
          <w:b/>
          <w:sz w:val="32"/>
          <w:szCs w:val="32"/>
        </w:rPr>
      </w:pPr>
      <w:r>
        <w:rPr>
          <w:rFonts w:hAnsi="黑体" w:hint="eastAsia"/>
          <w:b/>
          <w:sz w:val="32"/>
          <w:szCs w:val="32"/>
        </w:rPr>
        <w:t>六、一般公共预算财政拨款基本支出决算情况说明</w:t>
      </w:r>
    </w:p>
    <w:p w:rsidR="00265915" w:rsidRDefault="00D23F2A">
      <w:pPr>
        <w:pStyle w:val="Default"/>
        <w:ind w:firstLineChars="200" w:firstLine="640"/>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2021年度财政拨款基本支出26126.06万元，其中：人员经费23189.05万元，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88.76%,主要包括基本工资、津贴补贴、奖金、其他社会保障缴费、伙食补助费、绩效工资、机关事业单位基本养老保险缴费、其他工资福利支出、离休费、抚恤金、生活补助、医疗费、助学金、奖励金、住房公积金、其他对个人和家庭的补助支出；公用经费2937.01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11.24%，主要包括办公费、印刷费、水费、电费、邮电费、取暖费、物业管理费、差旅费、维修（护）费、租赁费、会议费、培训费、公务接待费、劳务费、工会经费、福利费、公务用车运行维护费、其他交通费用、税金及附加费用、其他商品和服务支出和办公设备购置、专用设备购置、信息网络及软件购置更新和其他资本性支出。</w:t>
      </w:r>
    </w:p>
    <w:p w:rsidR="00265915" w:rsidRDefault="00D23F2A">
      <w:pPr>
        <w:pStyle w:val="Default"/>
        <w:rPr>
          <w:rFonts w:hAnsi="黑体"/>
          <w:b/>
          <w:sz w:val="32"/>
          <w:szCs w:val="32"/>
        </w:rPr>
      </w:pPr>
      <w:r>
        <w:rPr>
          <w:rFonts w:hAnsi="黑体" w:hint="eastAsia"/>
          <w:b/>
          <w:sz w:val="32"/>
          <w:szCs w:val="32"/>
        </w:rPr>
        <w:t>七、一般公共预算财政拨款“三公”经费支出决算情况说明</w:t>
      </w:r>
    </w:p>
    <w:p w:rsidR="00265915" w:rsidRDefault="00D23F2A">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2021年度“三公”经费财政拨款支出预算为140.49万元，支出决算为98.18万元，完成预算的69.88%，其中：</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因公出国（境）费支出预算为10万元，支出决算为0万元，决算数小于预算数的主要原因是疫情影响，因公出国（境）取消，与上年相比减少5.4万元，减少100%,减少的主要原因是因公出国（境）减少。</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24.5万元，支出决算为5.83万元，完成预算的23.8%，决算数小于预算数的主要原因是落实过“紧日子”要求，压减一般性支出，与上年相比减少34.07万元，减少85.39%,减少的主要原因是一般性支出压减，公务接待减少。</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公务用车购置费支出预算为18万元，支出决算为18万元，完成预算的100%。</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87.99万元，支出决算为74.35万元，完成预算的84.5%，决算数小于预算数的主要原因是落实过“紧日子”要求，压减一般性支出，与上年相比减少4.34万元，减少5.52%,减少的主要原因是疫情影响，公务外出相对减少。</w:t>
      </w:r>
    </w:p>
    <w:p w:rsidR="00265915" w:rsidRDefault="00D23F2A">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2021年度“三公”经费财政拨款支出决算中，公务接待费支出决算5.83万元，占5.94%,因公出国（境）费支出决算18万元，占18.33%,公务用车购置费及运行维护费支出决算74.35万元，占75.73%。其中：</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1、因公出国（境）费支出决算为0万元，全年安排因公出国（境）团组0个，累计0人次。</w:t>
      </w:r>
    </w:p>
    <w:p w:rsidR="00265915" w:rsidRDefault="00D23F2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2、公务接待费支出决算为5.83元，全年共接待来访团组51个、来宾454人次，主要是国家体育总局及各市州体育部门联系工作发生的接待支出。</w:t>
      </w:r>
    </w:p>
    <w:p w:rsidR="00265915" w:rsidRDefault="00D23F2A">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3、公务用车购置费及运行维护费支出决算为92.35万元，其中：公务用车购置费18万元，局本级购置公务用车1辆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公务用车运行维护费74.35万元，主要是燃油费、车辆保险费、车辆维修费等支出，截止2021年12月31日，我单位开支财政拨款的公务用车保有量为41辆。</w:t>
      </w:r>
    </w:p>
    <w:p w:rsidR="00265915" w:rsidRDefault="00D23F2A">
      <w:pPr>
        <w:pStyle w:val="Default"/>
        <w:rPr>
          <w:rFonts w:hAnsi="黑体"/>
          <w:b/>
          <w:sz w:val="32"/>
          <w:szCs w:val="32"/>
        </w:rPr>
      </w:pPr>
      <w:r>
        <w:rPr>
          <w:rFonts w:hAnsi="黑体" w:hint="eastAsia"/>
          <w:b/>
          <w:sz w:val="32"/>
          <w:szCs w:val="32"/>
        </w:rPr>
        <w:t>八、政府性基金预算收入支出决算情况</w:t>
      </w:r>
    </w:p>
    <w:p w:rsidR="00265915" w:rsidRDefault="00D23F2A">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2021年度政府性基金预算财政拨款收入15300.47万元；年初结转和结余5923.26万元；支出17286.5万元，其中基本支出0万元，项目支出17286.5万元；年末结转和结余3937.22万元。具体情况如下：</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1、其他支出（类）彩票公益金安排的支出（款）用于体育事业的彩票公益金支出（项）。</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年初预算为14400万元，支出决算为17286.5万元，完成年初预算的120.04%，决算数大于年初预算数的主要原因是：年中安排中央集中彩票公益金支持体育事业专项资金等。</w:t>
      </w:r>
    </w:p>
    <w:p w:rsidR="00265915" w:rsidRDefault="00D23F2A">
      <w:pPr>
        <w:pStyle w:val="Default"/>
        <w:rPr>
          <w:rFonts w:hAnsi="黑体"/>
          <w:b/>
          <w:sz w:val="32"/>
          <w:szCs w:val="32"/>
        </w:rPr>
      </w:pPr>
      <w:r>
        <w:rPr>
          <w:rFonts w:hAnsi="黑体" w:hint="eastAsia"/>
          <w:b/>
          <w:sz w:val="32"/>
          <w:szCs w:val="32"/>
        </w:rPr>
        <w:t>九、机关运行经费支出说明</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本部门2021年度机关运行经费支出375.35万元，比上年决算数增加21.81万元，增长6.17%。主要原因是：局办公楼重新装修，搬迁办公室购置办公设备。</w:t>
      </w:r>
    </w:p>
    <w:p w:rsidR="00265915" w:rsidRDefault="00D23F2A">
      <w:pPr>
        <w:pStyle w:val="Default"/>
        <w:rPr>
          <w:rFonts w:hAnsi="黑体"/>
          <w:b/>
          <w:sz w:val="32"/>
          <w:szCs w:val="32"/>
        </w:rPr>
      </w:pPr>
      <w:r>
        <w:rPr>
          <w:rFonts w:hAnsi="黑体" w:hint="eastAsia"/>
          <w:b/>
          <w:sz w:val="32"/>
          <w:szCs w:val="32"/>
        </w:rPr>
        <w:t>十、一般性支出情况说明</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本部门开支会议费12.7万元，用于召开全省体育局长会议，人数91人，内容为2020年全省体育工作总结及2021年全省体育工作规划；用于湖南省参加第十四届全运会体育代表团成立大会，人数148人，内容为第十四届全运会体育代表团成立、授旗等；用于湖南省参加东京奥运会、第十四届全运会总结会议，人数152，内容省委书记张庆伟会见了载誉归来的获奖运动员、教练员及工作人员并合影留念。</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本部门开支培训费19.23万元，其中湖南体育职业学院开支培训用于开展教职工专业技能培训7.63万元，人数38人，内容为相关业务能力学习培训，用于学历提升支出2.42万元，人数1人，内容为专业教师提升学历水平学费；局本级、湖南省人才交流服务中心、湖南省田径运动管理中心、省游泳运动管理中心和省网球足球运动管理中心等9家单位开支培训费9.18万元，用于继续教育培训等，人数181人，内容为2021年度湖南省事业单位工作人员培训、财务等业务培训。</w:t>
      </w:r>
    </w:p>
    <w:p w:rsidR="00265915" w:rsidRDefault="00D23F2A">
      <w:pPr>
        <w:pStyle w:val="Default"/>
        <w:rPr>
          <w:rFonts w:hAnsi="黑体"/>
          <w:b/>
          <w:sz w:val="32"/>
          <w:szCs w:val="32"/>
        </w:rPr>
      </w:pPr>
      <w:r>
        <w:rPr>
          <w:rFonts w:hAnsi="黑体" w:hint="eastAsia"/>
          <w:b/>
          <w:sz w:val="32"/>
          <w:szCs w:val="32"/>
        </w:rPr>
        <w:t>十一、政府采购支出说明</w:t>
      </w:r>
    </w:p>
    <w:p w:rsidR="00265915" w:rsidRDefault="00D23F2A">
      <w:pPr>
        <w:pStyle w:val="Default"/>
        <w:ind w:firstLineChars="200" w:firstLine="640"/>
        <w:rPr>
          <w:rFonts w:asciiTheme="minorEastAsia" w:eastAsiaTheme="minorEastAsia" w:hAnsiTheme="minorEastAsia"/>
          <w:sz w:val="32"/>
          <w:szCs w:val="32"/>
          <w:highlight w:val="yellow"/>
        </w:rPr>
      </w:pPr>
      <w:r>
        <w:rPr>
          <w:rFonts w:asciiTheme="minorEastAsia" w:eastAsiaTheme="minorEastAsia" w:hAnsiTheme="minorEastAsia" w:hint="eastAsia"/>
          <w:sz w:val="32"/>
          <w:szCs w:val="32"/>
        </w:rPr>
        <w:t>本部门2021年度政府采购支出总额11895.55万元，其中：政府采购货物支出5045.41万元、政府采购工程支出2811.17万元、政府采购服务支出</w:t>
      </w:r>
      <w:r>
        <w:rPr>
          <w:rFonts w:asciiTheme="minorEastAsia" w:eastAsiaTheme="minorEastAsia" w:hAnsiTheme="minorEastAsia" w:hint="eastAsia"/>
          <w:sz w:val="32"/>
          <w:szCs w:val="32"/>
        </w:rPr>
        <w:lastRenderedPageBreak/>
        <w:t>4038.97万元。授予中小企业合同金额9037.52万元，占政府采购支出总额的75.97%，其中：授予小</w:t>
      </w:r>
      <w:proofErr w:type="gramStart"/>
      <w:r>
        <w:rPr>
          <w:rFonts w:asciiTheme="minorEastAsia" w:eastAsiaTheme="minorEastAsia" w:hAnsiTheme="minorEastAsia" w:hint="eastAsia"/>
          <w:sz w:val="32"/>
          <w:szCs w:val="32"/>
        </w:rPr>
        <w:t>微企业</w:t>
      </w:r>
      <w:proofErr w:type="gramEnd"/>
      <w:r>
        <w:rPr>
          <w:rFonts w:asciiTheme="minorEastAsia" w:eastAsiaTheme="minorEastAsia" w:hAnsiTheme="minorEastAsia" w:hint="eastAsia"/>
          <w:sz w:val="32"/>
          <w:szCs w:val="32"/>
        </w:rPr>
        <w:t>合同金额6247.23万元，占授予中小企业合同金额的69.13%；货物采购授予中小企业合同金额占货物支出金额的69.27%，工程采购授予中小企业合同金额占工程支出金额的70.47%，服务采购授予中小企业合同金额占服务支出金额的88.18%。</w:t>
      </w:r>
    </w:p>
    <w:p w:rsidR="00265915" w:rsidRDefault="00D23F2A">
      <w:pPr>
        <w:pStyle w:val="Default"/>
        <w:rPr>
          <w:rFonts w:hAnsi="黑体"/>
          <w:b/>
          <w:sz w:val="32"/>
          <w:szCs w:val="32"/>
        </w:rPr>
      </w:pPr>
      <w:r>
        <w:rPr>
          <w:rFonts w:hAnsi="黑体" w:hint="eastAsia"/>
          <w:b/>
          <w:sz w:val="32"/>
          <w:szCs w:val="32"/>
        </w:rPr>
        <w:t>十二、国有资产占用情况说明</w:t>
      </w:r>
    </w:p>
    <w:p w:rsidR="00265915" w:rsidRDefault="00D23F2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2021年12月31日，部门（单位）共有车辆41辆，其中，主要领导干部用车2辆，机要通信用车2辆、应急保障用车1辆、执法执勤用车0辆、特种专业技术用车4辆、其他用车32辆，其他用车主要是三轮车、小型客货两用车辆等；单位价值50万元以上通用设备7台（套）；单位价值100万元以上专用设备6台（套）。</w:t>
      </w:r>
    </w:p>
    <w:p w:rsidR="00265915" w:rsidRDefault="00D23F2A">
      <w:pPr>
        <w:pStyle w:val="Default"/>
        <w:rPr>
          <w:rFonts w:hAnsi="黑体"/>
          <w:b/>
          <w:sz w:val="32"/>
          <w:szCs w:val="32"/>
        </w:rPr>
      </w:pPr>
      <w:r>
        <w:rPr>
          <w:rFonts w:hAnsi="黑体" w:hint="eastAsia"/>
          <w:b/>
          <w:sz w:val="32"/>
          <w:szCs w:val="32"/>
        </w:rPr>
        <w:t>十三、2021年度预算绩效情况说明</w:t>
      </w:r>
    </w:p>
    <w:p w:rsidR="00265915" w:rsidRDefault="00D23F2A" w:rsidP="00D23F2A">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（1）绩效管理评价工作开展情况</w:t>
      </w:r>
      <w:r>
        <w:rPr>
          <w:rFonts w:asciiTheme="minorEastAsia" w:hAnsiTheme="minorEastAsia" w:cs="黑体" w:hint="eastAsia"/>
          <w:color w:val="000000"/>
          <w:kern w:val="0"/>
          <w:sz w:val="32"/>
          <w:szCs w:val="32"/>
        </w:rPr>
        <w:t>。</w:t>
      </w:r>
    </w:p>
    <w:p w:rsidR="00265915" w:rsidRDefault="00D23F2A">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根据预算绩效管理要求，我局组织对</w:t>
      </w:r>
      <w:r>
        <w:rPr>
          <w:rFonts w:asciiTheme="minorEastAsia" w:hAnsiTheme="minorEastAsia" w:cs="黑体"/>
          <w:color w:val="000000"/>
          <w:kern w:val="0"/>
          <w:sz w:val="32"/>
          <w:szCs w:val="32"/>
        </w:rPr>
        <w:t>2021</w:t>
      </w:r>
      <w:r>
        <w:rPr>
          <w:rFonts w:asciiTheme="minorEastAsia" w:hAnsiTheme="minorEastAsia" w:cs="黑体" w:hint="eastAsia"/>
          <w:color w:val="000000"/>
          <w:kern w:val="0"/>
          <w:sz w:val="32"/>
          <w:szCs w:val="32"/>
        </w:rPr>
        <w:t>年度一般公共预算项目支出全面开展绩效自评，其中，</w:t>
      </w:r>
      <w:proofErr w:type="gramStart"/>
      <w:r>
        <w:rPr>
          <w:rFonts w:asciiTheme="minorEastAsia" w:hAnsiTheme="minorEastAsia" w:cs="黑体" w:hint="eastAsia"/>
          <w:color w:val="000000"/>
          <w:kern w:val="0"/>
          <w:sz w:val="32"/>
          <w:szCs w:val="32"/>
        </w:rPr>
        <w:t>一级项目</w:t>
      </w:r>
      <w:proofErr w:type="gramEnd"/>
      <w:r>
        <w:rPr>
          <w:rFonts w:asciiTheme="minorEastAsia" w:hAnsiTheme="minorEastAsia" w:cs="黑体" w:hint="eastAsia"/>
          <w:color w:val="000000"/>
          <w:kern w:val="0"/>
          <w:sz w:val="32"/>
          <w:szCs w:val="32"/>
        </w:rPr>
        <w:t>4个，二级项目93个，共涉及资金</w:t>
      </w:r>
      <w:bookmarkStart w:id="2" w:name="OLE_LINK1"/>
      <w:r>
        <w:rPr>
          <w:rFonts w:asciiTheme="minorEastAsia" w:hAnsiTheme="minorEastAsia" w:cs="黑体" w:hint="eastAsia"/>
          <w:color w:val="000000"/>
          <w:kern w:val="0"/>
          <w:sz w:val="32"/>
          <w:szCs w:val="32"/>
        </w:rPr>
        <w:t>20893.01</w:t>
      </w:r>
      <w:bookmarkEnd w:id="2"/>
      <w:r>
        <w:rPr>
          <w:rFonts w:asciiTheme="minorEastAsia" w:hAnsiTheme="minorEastAsia" w:cs="黑体" w:hint="eastAsia"/>
          <w:color w:val="000000"/>
          <w:kern w:val="0"/>
          <w:sz w:val="32"/>
          <w:szCs w:val="32"/>
        </w:rPr>
        <w:t>万元，占一般公共预算项目支出总额的43.6</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。组织对</w:t>
      </w:r>
      <w:r>
        <w:rPr>
          <w:rFonts w:asciiTheme="minorEastAsia" w:hAnsiTheme="minorEastAsia" w:cs="黑体"/>
          <w:color w:val="000000"/>
          <w:kern w:val="0"/>
          <w:sz w:val="32"/>
          <w:szCs w:val="32"/>
        </w:rPr>
        <w:t>2021</w:t>
      </w:r>
      <w:r>
        <w:rPr>
          <w:rFonts w:asciiTheme="minorEastAsia" w:hAnsiTheme="minorEastAsia" w:cs="黑体" w:hint="eastAsia"/>
          <w:color w:val="000000"/>
          <w:kern w:val="0"/>
          <w:sz w:val="32"/>
          <w:szCs w:val="32"/>
        </w:rPr>
        <w:t>年度“大美里耶·云端上的骑行”八面山自行车邀请赛、全民健身室外健身路径</w:t>
      </w:r>
      <w:r>
        <w:rPr>
          <w:rFonts w:asciiTheme="minorEastAsia" w:hAnsiTheme="minorEastAsia" w:cs="黑体"/>
          <w:color w:val="000000"/>
          <w:kern w:val="0"/>
          <w:sz w:val="32"/>
          <w:szCs w:val="32"/>
        </w:rPr>
        <w:t xml:space="preserve"> </w:t>
      </w:r>
      <w:r>
        <w:rPr>
          <w:rFonts w:asciiTheme="minorEastAsia" w:hAnsiTheme="minorEastAsia" w:cs="黑体" w:hint="eastAsia"/>
          <w:color w:val="000000"/>
          <w:kern w:val="0"/>
          <w:sz w:val="32"/>
          <w:szCs w:val="32"/>
        </w:rPr>
        <w:t>等115个政府性基金预算项目支出开展绩效自评，共涉及资金21223.73万元，占政府性基金预算项目支出总额的100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。我局不涉及国有资本经营预算项目支出。</w:t>
      </w:r>
    </w:p>
    <w:p w:rsidR="00265915" w:rsidRDefault="00D23F2A">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组织对“其他事业发展资金”、“其他运转类”、“省级专项资金”、“业务工作经费”等4个项目开展了部门评价，涉及一般公共预算支出20893.01万元，政府性基金预算支出21223.73</w:t>
      </w:r>
      <w:r>
        <w:rPr>
          <w:rFonts w:asciiTheme="minorEastAsia" w:hAnsiTheme="minorEastAsia" w:cs="黑体"/>
          <w:color w:val="000000"/>
          <w:kern w:val="0"/>
          <w:sz w:val="32"/>
          <w:szCs w:val="32"/>
        </w:rPr>
        <w:t xml:space="preserve"> </w:t>
      </w:r>
      <w:r>
        <w:rPr>
          <w:rFonts w:asciiTheme="minorEastAsia" w:hAnsiTheme="minorEastAsia" w:cs="黑体" w:hint="eastAsia"/>
          <w:color w:val="000000"/>
          <w:kern w:val="0"/>
          <w:sz w:val="32"/>
          <w:szCs w:val="32"/>
        </w:rPr>
        <w:t>万元，国有资本经营预算支出0.00万元。从评价情况来看，4个项目的整体推进情况均为良好，自评结果均为“优秀”。</w:t>
      </w:r>
    </w:p>
    <w:p w:rsidR="00265915" w:rsidRDefault="00D23F2A">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组织对“湖南省体操运动管理中心”、“湖南省举重运动管理中心”、“湖南体育职业学院”、“湖南省体育人才交流服务中心”等20个单位开展整体支出绩效评价，涉及一般公共预算支出44478.94万元，政府性基金预算支出17286.50万元。从评价情况来看，2021年，我局圆满完成了省委省政府和国家体育总局交办的重点工作任务，各项工作符合省相关政策要求，绩效目标明确，绩效监控有效，社会效益明显，所有项目实施均有相应的资金保障、人员保障和制度保障，能够形成可持续的影响。</w:t>
      </w:r>
    </w:p>
    <w:p w:rsidR="00265915" w:rsidRDefault="00D23F2A" w:rsidP="00D23F2A">
      <w:pPr>
        <w:autoSpaceDE w:val="0"/>
        <w:autoSpaceDN w:val="0"/>
        <w:adjustRightInd w:val="0"/>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（2）部门决算</w:t>
      </w:r>
      <w:proofErr w:type="gramStart"/>
      <w:r>
        <w:rPr>
          <w:rFonts w:asciiTheme="minorEastAsia" w:hAnsiTheme="minorEastAsia" w:cs="黑体" w:hint="eastAsia"/>
          <w:b/>
          <w:color w:val="000000"/>
          <w:kern w:val="0"/>
          <w:sz w:val="32"/>
          <w:szCs w:val="32"/>
        </w:rPr>
        <w:t>中项目</w:t>
      </w:r>
      <w:proofErr w:type="gramEnd"/>
      <w:r>
        <w:rPr>
          <w:rFonts w:asciiTheme="minorEastAsia" w:hAnsiTheme="minorEastAsia" w:cs="黑体" w:hint="eastAsia"/>
          <w:b/>
          <w:color w:val="000000"/>
          <w:kern w:val="0"/>
          <w:sz w:val="32"/>
          <w:szCs w:val="32"/>
        </w:rPr>
        <w:t>绩效自评结果（如有）。</w:t>
      </w:r>
    </w:p>
    <w:p w:rsidR="00265915" w:rsidRDefault="00D23F2A">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运行维护经费类项目绩效自评综述：根据年初设定的绩效目标，项目绩效自评得分为96.22分。项目全年预算数为 1,354.73 万元，执行数为 1176.46 万元，完成预算的86.84%。项目绩效目标完成情况：一是完成车辆购置。二是2021年开展体育</w:t>
      </w:r>
      <w:proofErr w:type="gramStart"/>
      <w:r>
        <w:rPr>
          <w:rFonts w:asciiTheme="minorEastAsia" w:hAnsiTheme="minorEastAsia" w:cs="黑体" w:hint="eastAsia"/>
          <w:color w:val="000000"/>
          <w:kern w:val="0"/>
          <w:sz w:val="32"/>
          <w:szCs w:val="32"/>
        </w:rPr>
        <w:t>行业国职</w:t>
      </w:r>
      <w:proofErr w:type="gramEnd"/>
      <w:r>
        <w:rPr>
          <w:rFonts w:asciiTheme="minorEastAsia" w:hAnsiTheme="minorEastAsia" w:cs="黑体" w:hint="eastAsia"/>
          <w:color w:val="000000"/>
          <w:kern w:val="0"/>
          <w:sz w:val="32"/>
          <w:szCs w:val="32"/>
        </w:rPr>
        <w:t>鉴定7项。三是完成21万册图书的采购。四是完成2021年度智慧校园工程二期建设。五是已完成内部控制报告和省体育局2019-2021年财政资金使用情况绩效评价。六是完成省体育局4个直属单位财务情况审计。</w:t>
      </w:r>
    </w:p>
    <w:p w:rsidR="00265915" w:rsidRDefault="00D23F2A">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业务工作经费项目绩效自评综述：根据年初设定的绩效目标，项目绩效自评得分为95.39分。项目全年预算数为18437.49万元，执行数为17309.04万元，完成预算的93.88</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项目绩效目标完成情况：一是全力备战东京奥运会和第十四届全运会，奥运会上获得了2金5银3铜，金牌数排名全国第十，奖牌数排名全国第八；陕西全运会我省获得了25金13银9铜，金牌榜位列全国第八。二是增强教练员队伍和运动员队伍建设，提升竞技实力，</w:t>
      </w:r>
      <w:proofErr w:type="gramStart"/>
      <w:r>
        <w:rPr>
          <w:rFonts w:asciiTheme="minorEastAsia" w:hAnsiTheme="minorEastAsia" w:cs="黑体" w:hint="eastAsia"/>
          <w:color w:val="000000"/>
          <w:kern w:val="0"/>
          <w:sz w:val="32"/>
          <w:szCs w:val="32"/>
        </w:rPr>
        <w:t>我部门</w:t>
      </w:r>
      <w:proofErr w:type="gramEnd"/>
      <w:r>
        <w:rPr>
          <w:rFonts w:asciiTheme="minorEastAsia" w:hAnsiTheme="minorEastAsia" w:cs="黑体" w:hint="eastAsia"/>
          <w:color w:val="000000"/>
          <w:kern w:val="0"/>
          <w:sz w:val="32"/>
          <w:szCs w:val="32"/>
        </w:rPr>
        <w:t>2021年引进16人、教练员39人、领队、队医等14人。三是完成666人常年赛奖金的发放。四是积极开展58次集训，国家队集训运动员数达92人次等等。</w:t>
      </w:r>
    </w:p>
    <w:p w:rsidR="00265915" w:rsidRDefault="00D23F2A">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其他事业类发展资金类项目绩效自评综述：根据年初设定的绩效目标，</w:t>
      </w:r>
      <w:r>
        <w:rPr>
          <w:rFonts w:asciiTheme="minorEastAsia" w:hAnsiTheme="minorEastAsia" w:cs="黑体" w:hint="eastAsia"/>
          <w:color w:val="000000"/>
          <w:kern w:val="0"/>
          <w:sz w:val="32"/>
          <w:szCs w:val="32"/>
        </w:rPr>
        <w:lastRenderedPageBreak/>
        <w:t>项目绩效自评得分为92.42分。项目全年预算数为21729.38 万元，执行数为16845.37 万元，完成预算的77.52%。项目绩效目标完成情况：一是完成327人奥运会奖金、28人高端激励经费和2489人国家助学金的发放。二是努力打造群众体育</w:t>
      </w:r>
      <w:proofErr w:type="gramStart"/>
      <w:r>
        <w:rPr>
          <w:rFonts w:asciiTheme="minorEastAsia" w:hAnsiTheme="minorEastAsia" w:cs="黑体" w:hint="eastAsia"/>
          <w:color w:val="000000"/>
          <w:kern w:val="0"/>
          <w:sz w:val="32"/>
          <w:szCs w:val="32"/>
        </w:rPr>
        <w:t>品牌赛事</w:t>
      </w:r>
      <w:proofErr w:type="gramEnd"/>
      <w:r>
        <w:rPr>
          <w:rFonts w:asciiTheme="minorEastAsia" w:hAnsiTheme="minorEastAsia" w:cs="黑体" w:hint="eastAsia"/>
          <w:color w:val="000000"/>
          <w:kern w:val="0"/>
          <w:sz w:val="32"/>
          <w:szCs w:val="32"/>
        </w:rPr>
        <w:t>活动，支持举办了2021年“激扬中国梦·冰雪</w:t>
      </w:r>
      <w:proofErr w:type="gramStart"/>
      <w:r>
        <w:rPr>
          <w:rFonts w:asciiTheme="minorEastAsia" w:hAnsiTheme="minorEastAsia" w:cs="黑体" w:hint="eastAsia"/>
          <w:color w:val="000000"/>
          <w:kern w:val="0"/>
          <w:sz w:val="32"/>
          <w:szCs w:val="32"/>
        </w:rPr>
        <w:t>酝</w:t>
      </w:r>
      <w:proofErr w:type="gramEnd"/>
      <w:r>
        <w:rPr>
          <w:rFonts w:asciiTheme="minorEastAsia" w:hAnsiTheme="minorEastAsia" w:cs="黑体" w:hint="eastAsia"/>
          <w:color w:val="000000"/>
          <w:kern w:val="0"/>
          <w:sz w:val="32"/>
          <w:szCs w:val="32"/>
        </w:rPr>
        <w:t>新篇”湖南省百万人上冰活动等赛事活动等。</w:t>
      </w:r>
    </w:p>
    <w:p w:rsidR="00265915" w:rsidRDefault="00D23F2A">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省级专项资金项目绩效自评综述：根据年初设定的绩效目标，项目绩效自评得分为87.58分。项目全年预算数为 954.26万元，执行数为668.04万元，完成预算的70.01%。项目绩效目标完成情：一是已完成足球场</w:t>
      </w:r>
      <w:proofErr w:type="gramStart"/>
      <w:r>
        <w:rPr>
          <w:rFonts w:asciiTheme="minorEastAsia" w:hAnsiTheme="minorEastAsia" w:cs="黑体" w:hint="eastAsia"/>
          <w:color w:val="000000"/>
          <w:kern w:val="0"/>
          <w:sz w:val="32"/>
          <w:szCs w:val="32"/>
        </w:rPr>
        <w:t>2期暨</w:t>
      </w:r>
      <w:proofErr w:type="gramEnd"/>
      <w:r>
        <w:rPr>
          <w:rFonts w:asciiTheme="minorEastAsia" w:hAnsiTheme="minorEastAsia" w:cs="黑体" w:hint="eastAsia"/>
          <w:color w:val="000000"/>
          <w:kern w:val="0"/>
          <w:sz w:val="32"/>
          <w:szCs w:val="32"/>
        </w:rPr>
        <w:t>省足协训练基地建设。二是培养了3名青年骨干教师。三是专业带头人、教研室主任开展集中培训共3次，其中使用省级专项资金完成培训1次等</w:t>
      </w:r>
      <w:proofErr w:type="gramStart"/>
      <w:r>
        <w:rPr>
          <w:rFonts w:asciiTheme="minorEastAsia" w:hAnsiTheme="minorEastAsia" w:cs="黑体" w:hint="eastAsia"/>
          <w:color w:val="000000"/>
          <w:kern w:val="0"/>
          <w:sz w:val="32"/>
          <w:szCs w:val="32"/>
        </w:rPr>
        <w:t>等</w:t>
      </w:r>
      <w:proofErr w:type="gramEnd"/>
      <w:r>
        <w:rPr>
          <w:rFonts w:asciiTheme="minorEastAsia" w:hAnsiTheme="minorEastAsia" w:cs="黑体" w:hint="eastAsia"/>
          <w:color w:val="000000"/>
          <w:kern w:val="0"/>
          <w:sz w:val="32"/>
          <w:szCs w:val="32"/>
        </w:rPr>
        <w:t>。</w:t>
      </w:r>
    </w:p>
    <w:p w:rsidR="00265915" w:rsidRDefault="00D23F2A">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发现的主要问题及原因：一是绩效目标和指标设定不够精细，预算绩效管理理念有待加强；二是个别单位工程项目未提前编制工程量清单，概算依据不足；三是固定资产标签管理不规范，未定期盘点固定资产，账实不符。</w:t>
      </w:r>
    </w:p>
    <w:p w:rsidR="00265915" w:rsidRDefault="00D23F2A">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下一步改进措施：一是加强预算绩效管理意识，编制部门预算时，要求各二级单位根据部门职责及年度工作任务情况，按照财政部门规定，规范的设置绩效目标及相应的绩效指标，确保绩效目标及指标完整且可量化考核；二是加强工程项目内控管理，建立健全相关项目制度管理，加强监督管理，对金额稍大的装修、维修等工程项目，建议聘请有相应资质的中介机构编制工程量清单，并以此作为预算依据，以做到概算控制预算，预算控制决算；三是加强固定资产管理，定期组织固定资产盘点，结合条形码技术，赋予每个实物一张唯一的条码资产标签，对固定资产实物进行全程跟踪管理。账实核对，按程序报废核销固定资产，防止国有资产流失，保障国有资产的安全、完整。</w:t>
      </w:r>
    </w:p>
    <w:p w:rsidR="00265915" w:rsidRDefault="00D23F2A" w:rsidP="00D23F2A">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b/>
          <w:color w:val="000000"/>
          <w:kern w:val="0"/>
          <w:sz w:val="32"/>
          <w:szCs w:val="32"/>
        </w:rPr>
        <w:t>3</w:t>
      </w:r>
      <w:r>
        <w:rPr>
          <w:rFonts w:asciiTheme="minorEastAsia" w:hAnsiTheme="minorEastAsia" w:cs="黑体" w:hint="eastAsia"/>
          <w:b/>
          <w:color w:val="000000"/>
          <w:kern w:val="0"/>
          <w:sz w:val="32"/>
          <w:szCs w:val="32"/>
        </w:rPr>
        <w:t>）部门评价项目绩效评价结果。</w:t>
      </w:r>
    </w:p>
    <w:p w:rsidR="00265915" w:rsidRDefault="00D23F2A">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部门评价项目数量</w:t>
      </w:r>
      <w:r>
        <w:rPr>
          <w:rFonts w:asciiTheme="minorEastAsia" w:hAnsiTheme="minorEastAsia" w:cs="黑体"/>
          <w:color w:val="000000"/>
          <w:kern w:val="0"/>
          <w:sz w:val="32"/>
          <w:szCs w:val="32"/>
        </w:rPr>
        <w:t>3</w:t>
      </w:r>
      <w:r>
        <w:rPr>
          <w:rFonts w:asciiTheme="minorEastAsia" w:hAnsiTheme="minorEastAsia" w:cs="黑体" w:hint="eastAsia"/>
          <w:color w:val="000000"/>
          <w:kern w:val="0"/>
          <w:sz w:val="32"/>
          <w:szCs w:val="32"/>
        </w:rPr>
        <w:t>个以内的，至少将</w:t>
      </w:r>
      <w:r>
        <w:rPr>
          <w:rFonts w:asciiTheme="minorEastAsia" w:hAnsiTheme="minorEastAsia" w:cs="黑体"/>
          <w:color w:val="000000"/>
          <w:kern w:val="0"/>
          <w:sz w:val="32"/>
          <w:szCs w:val="32"/>
        </w:rPr>
        <w:t xml:space="preserve">1 </w:t>
      </w:r>
      <w:proofErr w:type="gramStart"/>
      <w:r>
        <w:rPr>
          <w:rFonts w:asciiTheme="minorEastAsia" w:hAnsiTheme="minorEastAsia" w:cs="黑体" w:hint="eastAsia"/>
          <w:color w:val="000000"/>
          <w:kern w:val="0"/>
          <w:sz w:val="32"/>
          <w:szCs w:val="32"/>
        </w:rPr>
        <w:t>个</w:t>
      </w:r>
      <w:proofErr w:type="gramEnd"/>
      <w:r>
        <w:rPr>
          <w:rFonts w:asciiTheme="minorEastAsia" w:hAnsiTheme="minorEastAsia" w:cs="黑体" w:hint="eastAsia"/>
          <w:color w:val="000000"/>
          <w:kern w:val="0"/>
          <w:sz w:val="32"/>
          <w:szCs w:val="32"/>
        </w:rPr>
        <w:t>部门评价报告向社会公开；部门评价项目数量大于</w:t>
      </w:r>
      <w:r>
        <w:rPr>
          <w:rFonts w:asciiTheme="minorEastAsia" w:hAnsiTheme="minorEastAsia" w:cs="黑体"/>
          <w:color w:val="000000"/>
          <w:kern w:val="0"/>
          <w:sz w:val="32"/>
          <w:szCs w:val="32"/>
        </w:rPr>
        <w:t xml:space="preserve">3 </w:t>
      </w:r>
      <w:proofErr w:type="gramStart"/>
      <w:r>
        <w:rPr>
          <w:rFonts w:asciiTheme="minorEastAsia" w:hAnsiTheme="minorEastAsia" w:cs="黑体" w:hint="eastAsia"/>
          <w:color w:val="000000"/>
          <w:kern w:val="0"/>
          <w:sz w:val="32"/>
          <w:szCs w:val="32"/>
        </w:rPr>
        <w:t>个</w:t>
      </w:r>
      <w:proofErr w:type="gramEnd"/>
      <w:r>
        <w:rPr>
          <w:rFonts w:asciiTheme="minorEastAsia" w:hAnsiTheme="minorEastAsia" w:cs="黑体" w:hint="eastAsia"/>
          <w:color w:val="000000"/>
          <w:kern w:val="0"/>
          <w:sz w:val="32"/>
          <w:szCs w:val="32"/>
        </w:rPr>
        <w:t>的，至少将</w:t>
      </w:r>
      <w:r>
        <w:rPr>
          <w:rFonts w:asciiTheme="minorEastAsia" w:hAnsiTheme="minorEastAsia" w:cs="黑体"/>
          <w:color w:val="000000"/>
          <w:kern w:val="0"/>
          <w:sz w:val="32"/>
          <w:szCs w:val="32"/>
        </w:rPr>
        <w:t xml:space="preserve">2 </w:t>
      </w:r>
      <w:proofErr w:type="gramStart"/>
      <w:r>
        <w:rPr>
          <w:rFonts w:asciiTheme="minorEastAsia" w:hAnsiTheme="minorEastAsia" w:cs="黑体" w:hint="eastAsia"/>
          <w:color w:val="000000"/>
          <w:kern w:val="0"/>
          <w:sz w:val="32"/>
          <w:szCs w:val="32"/>
        </w:rPr>
        <w:t>个</w:t>
      </w:r>
      <w:proofErr w:type="gramEnd"/>
      <w:r>
        <w:rPr>
          <w:rFonts w:asciiTheme="minorEastAsia" w:hAnsiTheme="minorEastAsia" w:cs="黑体" w:hint="eastAsia"/>
          <w:color w:val="000000"/>
          <w:kern w:val="0"/>
          <w:sz w:val="32"/>
          <w:szCs w:val="32"/>
        </w:rPr>
        <w:t>部门评价报告向社会公开。报告框架可参考《项目支出绩效评价办法》（财预〔</w:t>
      </w:r>
      <w:r>
        <w:rPr>
          <w:rFonts w:asciiTheme="minorEastAsia" w:hAnsiTheme="minorEastAsia" w:cs="黑体"/>
          <w:color w:val="000000"/>
          <w:kern w:val="0"/>
          <w:sz w:val="32"/>
          <w:szCs w:val="32"/>
        </w:rPr>
        <w:t>2020</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 xml:space="preserve">10 </w:t>
      </w:r>
      <w:r>
        <w:rPr>
          <w:rFonts w:asciiTheme="minorEastAsia" w:hAnsiTheme="minorEastAsia" w:cs="黑体" w:hint="eastAsia"/>
          <w:color w:val="000000"/>
          <w:kern w:val="0"/>
          <w:sz w:val="32"/>
          <w:szCs w:val="32"/>
        </w:rPr>
        <w:t>号）中《项目支出绩效评价报告（参考提纲）》、《湖南省预算支出绩效评价管理办法》（</w:t>
      </w:r>
      <w:proofErr w:type="gramStart"/>
      <w:r>
        <w:rPr>
          <w:rFonts w:asciiTheme="minorEastAsia" w:hAnsiTheme="minorEastAsia" w:cs="黑体" w:hint="eastAsia"/>
          <w:color w:val="000000"/>
          <w:kern w:val="0"/>
          <w:sz w:val="32"/>
          <w:szCs w:val="32"/>
        </w:rPr>
        <w:t>湘财绩〔</w:t>
      </w:r>
      <w:r>
        <w:rPr>
          <w:rFonts w:asciiTheme="minorEastAsia" w:hAnsiTheme="minorEastAsia" w:cs="黑体"/>
          <w:color w:val="000000"/>
          <w:kern w:val="0"/>
          <w:sz w:val="32"/>
          <w:szCs w:val="32"/>
        </w:rPr>
        <w:t>2020</w:t>
      </w:r>
      <w:r>
        <w:rPr>
          <w:rFonts w:asciiTheme="minorEastAsia" w:hAnsiTheme="minorEastAsia" w:cs="黑体" w:hint="eastAsia"/>
          <w:color w:val="000000"/>
          <w:kern w:val="0"/>
          <w:sz w:val="32"/>
          <w:szCs w:val="32"/>
        </w:rPr>
        <w:t>〕</w:t>
      </w:r>
      <w:proofErr w:type="gramEnd"/>
      <w:r>
        <w:rPr>
          <w:rFonts w:asciiTheme="minorEastAsia" w:hAnsiTheme="minorEastAsia" w:cs="黑体" w:hint="eastAsia"/>
          <w:color w:val="000000"/>
          <w:kern w:val="0"/>
          <w:sz w:val="32"/>
          <w:szCs w:val="32"/>
        </w:rPr>
        <w:t>7号）。</w:t>
      </w: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rPr>
          <w:sz w:val="72"/>
          <w:szCs w:val="72"/>
        </w:rPr>
      </w:pPr>
    </w:p>
    <w:p w:rsidR="00265915" w:rsidRDefault="00265915">
      <w:pPr>
        <w:pStyle w:val="Default"/>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D23F2A">
      <w:pPr>
        <w:pStyle w:val="Default"/>
        <w:jc w:val="center"/>
        <w:rPr>
          <w:sz w:val="72"/>
          <w:szCs w:val="72"/>
        </w:rPr>
      </w:pPr>
      <w:r>
        <w:rPr>
          <w:rFonts w:hint="eastAsia"/>
          <w:sz w:val="72"/>
          <w:szCs w:val="72"/>
        </w:rPr>
        <w:t>第四部分</w:t>
      </w:r>
    </w:p>
    <w:p w:rsidR="00265915" w:rsidRDefault="00265915">
      <w:pPr>
        <w:jc w:val="center"/>
        <w:rPr>
          <w:rFonts w:ascii="黑体" w:eastAsia="黑体" w:cs="黑体"/>
          <w:color w:val="000000"/>
          <w:kern w:val="0"/>
          <w:sz w:val="70"/>
          <w:szCs w:val="70"/>
        </w:rPr>
      </w:pPr>
    </w:p>
    <w:p w:rsidR="00265915" w:rsidRDefault="00D23F2A">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265915" w:rsidRDefault="00D23F2A">
      <w:pPr>
        <w:widowControl/>
        <w:jc w:val="left"/>
        <w:rPr>
          <w:rFonts w:asciiTheme="minorEastAsia" w:hAnsiTheme="minorEastAsia" w:cs="黑体"/>
          <w:color w:val="000000"/>
          <w:kern w:val="0"/>
          <w:sz w:val="32"/>
          <w:szCs w:val="32"/>
        </w:rPr>
      </w:pPr>
      <w:r>
        <w:rPr>
          <w:rFonts w:ascii="黑体" w:eastAsia="黑体" w:cs="黑体"/>
          <w:color w:val="000000"/>
          <w:kern w:val="0"/>
          <w:sz w:val="70"/>
          <w:szCs w:val="70"/>
        </w:rPr>
        <w:br w:type="page"/>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一、</w:t>
      </w:r>
      <w:r>
        <w:rPr>
          <w:rFonts w:asciiTheme="minorEastAsia" w:hAnsiTheme="minorEastAsia" w:cs="黑体" w:hint="eastAsia"/>
          <w:b/>
          <w:color w:val="000000"/>
          <w:kern w:val="0"/>
          <w:sz w:val="32"/>
          <w:szCs w:val="32"/>
        </w:rPr>
        <w:t>财政拨款收入</w:t>
      </w:r>
      <w:r>
        <w:rPr>
          <w:rFonts w:asciiTheme="minorEastAsia" w:hAnsiTheme="minorEastAsia" w:cs="黑体" w:hint="eastAsia"/>
          <w:color w:val="000000"/>
          <w:kern w:val="0"/>
          <w:sz w:val="32"/>
          <w:szCs w:val="32"/>
        </w:rPr>
        <w:t>：</w:t>
      </w:r>
      <w:proofErr w:type="gramStart"/>
      <w:r>
        <w:rPr>
          <w:rFonts w:asciiTheme="minorEastAsia" w:hAnsiTheme="minorEastAsia" w:cs="黑体" w:hint="eastAsia"/>
          <w:color w:val="000000"/>
          <w:kern w:val="0"/>
          <w:sz w:val="32"/>
          <w:szCs w:val="32"/>
        </w:rPr>
        <w:t>指省财政</w:t>
      </w:r>
      <w:proofErr w:type="gramEnd"/>
      <w:r>
        <w:rPr>
          <w:rFonts w:asciiTheme="minorEastAsia" w:hAnsiTheme="minorEastAsia" w:cs="黑体" w:hint="eastAsia"/>
          <w:color w:val="000000"/>
          <w:kern w:val="0"/>
          <w:sz w:val="32"/>
          <w:szCs w:val="32"/>
        </w:rPr>
        <w:t>当年拨付的资金。</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w:t>
      </w:r>
      <w:r>
        <w:rPr>
          <w:rFonts w:asciiTheme="minorEastAsia" w:hAnsiTheme="minorEastAsia" w:cs="黑体" w:hint="eastAsia"/>
          <w:b/>
          <w:color w:val="000000"/>
          <w:kern w:val="0"/>
          <w:sz w:val="32"/>
          <w:szCs w:val="32"/>
        </w:rPr>
        <w:t>政府性基金预算财政拨款</w:t>
      </w:r>
      <w:r>
        <w:rPr>
          <w:rFonts w:asciiTheme="minorEastAsia" w:hAnsiTheme="minorEastAsia" w:cs="黑体" w:hint="eastAsia"/>
          <w:color w:val="000000"/>
          <w:kern w:val="0"/>
          <w:sz w:val="32"/>
          <w:szCs w:val="32"/>
        </w:rPr>
        <w:t>：指当年拨付的用于体育事业的体彩公益金。</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w:t>
      </w:r>
      <w:r>
        <w:rPr>
          <w:rFonts w:asciiTheme="minorEastAsia" w:hAnsiTheme="minorEastAsia" w:cs="黑体" w:hint="eastAsia"/>
          <w:b/>
          <w:color w:val="000000"/>
          <w:kern w:val="0"/>
          <w:sz w:val="32"/>
          <w:szCs w:val="32"/>
        </w:rPr>
        <w:t>事业收入</w:t>
      </w:r>
      <w:r>
        <w:rPr>
          <w:rFonts w:asciiTheme="minorEastAsia" w:hAnsiTheme="minorEastAsia" w:cs="黑体" w:hint="eastAsia"/>
          <w:color w:val="000000"/>
          <w:kern w:val="0"/>
          <w:sz w:val="32"/>
          <w:szCs w:val="32"/>
        </w:rPr>
        <w:t>：指事业单位开展专业活动及辅助活动所取得的收入。如：湖南体育职业学院的学费收入，湖南省体育运动医疗专科医院的医疗费收入等。</w:t>
      </w:r>
    </w:p>
    <w:p w:rsidR="00265915" w:rsidRDefault="00D23F2A">
      <w:pPr>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四、</w:t>
      </w:r>
      <w:r>
        <w:rPr>
          <w:rFonts w:asciiTheme="minorEastAsia" w:hAnsiTheme="minorEastAsia" w:cs="黑体" w:hint="eastAsia"/>
          <w:b/>
          <w:color w:val="000000"/>
          <w:kern w:val="0"/>
          <w:sz w:val="32"/>
          <w:szCs w:val="32"/>
        </w:rPr>
        <w:t>经营收入</w:t>
      </w:r>
      <w:r>
        <w:rPr>
          <w:rFonts w:asciiTheme="minorEastAsia" w:hAnsiTheme="minorEastAsia" w:cs="黑体" w:hint="eastAsia"/>
          <w:color w:val="000000"/>
          <w:kern w:val="0"/>
          <w:sz w:val="32"/>
          <w:szCs w:val="32"/>
        </w:rPr>
        <w:t>：指事业单位在专业业务活动及其辅助活动之外开展非独立核算经营活动取得的收入。如：湖南省体育局装备服务中心经营活动、湖南省社会体育指导服务中心赛事服务活动、湖南贺龙体育馆的场馆经营收入等。</w:t>
      </w:r>
    </w:p>
    <w:p w:rsidR="00265915" w:rsidRDefault="00D23F2A">
      <w:pPr>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五、</w:t>
      </w:r>
      <w:r>
        <w:rPr>
          <w:rFonts w:asciiTheme="minorEastAsia" w:hAnsiTheme="minorEastAsia" w:cs="黑体" w:hint="eastAsia"/>
          <w:b/>
          <w:color w:val="000000"/>
          <w:kern w:val="0"/>
          <w:sz w:val="32"/>
          <w:szCs w:val="32"/>
        </w:rPr>
        <w:t>其他收入</w:t>
      </w:r>
      <w:r>
        <w:rPr>
          <w:rFonts w:asciiTheme="minorEastAsia" w:hAnsiTheme="minorEastAsia" w:cs="黑体" w:hint="eastAsia"/>
          <w:color w:val="000000"/>
          <w:kern w:val="0"/>
          <w:sz w:val="32"/>
          <w:szCs w:val="32"/>
        </w:rPr>
        <w:t>：指除上述</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财政拨款</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事业收入</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事业单位经营收入</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等以外的收入。主要是存款利息收入、捐赠收入等。</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六、</w:t>
      </w:r>
      <w:r>
        <w:rPr>
          <w:rFonts w:asciiTheme="minorEastAsia" w:hAnsiTheme="minorEastAsia" w:cs="黑体" w:hint="eastAsia"/>
          <w:b/>
          <w:color w:val="000000"/>
          <w:kern w:val="0"/>
          <w:sz w:val="32"/>
          <w:szCs w:val="32"/>
        </w:rPr>
        <w:t>用事业基金弥补收支差额</w:t>
      </w:r>
      <w:r>
        <w:rPr>
          <w:rFonts w:asciiTheme="minorEastAsia" w:hAnsiTheme="minorEastAsia" w:cs="黑体" w:hint="eastAsia"/>
          <w:color w:val="000000"/>
          <w:kern w:val="0"/>
          <w:sz w:val="32"/>
          <w:szCs w:val="32"/>
        </w:rPr>
        <w:t>：指事业单位在当年“财政拨款收入”、“事业收入”、“经营收入”、“其他收入”不足以安排当年支出的情况下，使用以前年度积累的事业基金（</w:t>
      </w:r>
      <w:proofErr w:type="gramStart"/>
      <w:r>
        <w:rPr>
          <w:rFonts w:asciiTheme="minorEastAsia" w:hAnsiTheme="minorEastAsia" w:cs="黑体" w:hint="eastAsia"/>
          <w:color w:val="000000"/>
          <w:kern w:val="0"/>
          <w:sz w:val="32"/>
          <w:szCs w:val="32"/>
        </w:rPr>
        <w:t>事业单位当度收支相抵</w:t>
      </w:r>
      <w:proofErr w:type="gramEnd"/>
      <w:r>
        <w:rPr>
          <w:rFonts w:asciiTheme="minorEastAsia" w:hAnsiTheme="minorEastAsia" w:cs="黑体" w:hint="eastAsia"/>
          <w:color w:val="000000"/>
          <w:kern w:val="0"/>
          <w:sz w:val="32"/>
          <w:szCs w:val="32"/>
        </w:rPr>
        <w:t>后按国家规定提取、用于弥补以后年度收支差额的基金）弥补本年度收支缺口的资金。</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七、</w:t>
      </w:r>
      <w:r>
        <w:rPr>
          <w:rFonts w:asciiTheme="minorEastAsia" w:hAnsiTheme="minorEastAsia" w:cs="黑体" w:hint="eastAsia"/>
          <w:b/>
          <w:color w:val="000000"/>
          <w:kern w:val="0"/>
          <w:sz w:val="32"/>
          <w:szCs w:val="32"/>
        </w:rPr>
        <w:t>年初结转和结余</w:t>
      </w:r>
      <w:r>
        <w:rPr>
          <w:rFonts w:asciiTheme="minorEastAsia" w:hAnsiTheme="minorEastAsia" w:cs="黑体" w:hint="eastAsia"/>
          <w:color w:val="000000"/>
          <w:kern w:val="0"/>
          <w:sz w:val="32"/>
          <w:szCs w:val="32"/>
        </w:rPr>
        <w:t>：指以前年度支出预算因客观条件变化未执行完毕、结转到本年度按有关规定继续使用的资金。</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八、</w:t>
      </w:r>
      <w:r>
        <w:rPr>
          <w:rFonts w:asciiTheme="minorEastAsia" w:hAnsiTheme="minorEastAsia" w:cs="黑体" w:hint="eastAsia"/>
          <w:b/>
          <w:color w:val="000000"/>
          <w:kern w:val="0"/>
          <w:sz w:val="32"/>
          <w:szCs w:val="32"/>
        </w:rPr>
        <w:t>基本支出</w:t>
      </w:r>
      <w:r>
        <w:rPr>
          <w:rFonts w:asciiTheme="minorEastAsia" w:hAnsiTheme="minorEastAsia" w:cs="黑体" w:hint="eastAsia"/>
          <w:color w:val="000000"/>
          <w:kern w:val="0"/>
          <w:sz w:val="32"/>
          <w:szCs w:val="32"/>
        </w:rPr>
        <w:t>：是指湖南省体育局部门为保障机构正常运转、完成日常工作任务所必需的开支，其内容包括人员经费和日常公用经费两部分。</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九、</w:t>
      </w:r>
      <w:r>
        <w:rPr>
          <w:rFonts w:asciiTheme="minorEastAsia" w:hAnsiTheme="minorEastAsia" w:cs="黑体" w:hint="eastAsia"/>
          <w:b/>
          <w:color w:val="000000"/>
          <w:kern w:val="0"/>
          <w:sz w:val="32"/>
          <w:szCs w:val="32"/>
        </w:rPr>
        <w:t>项目支出</w:t>
      </w:r>
      <w:r>
        <w:rPr>
          <w:rFonts w:asciiTheme="minorEastAsia" w:hAnsiTheme="minorEastAsia" w:cs="黑体" w:hint="eastAsia"/>
          <w:color w:val="000000"/>
          <w:kern w:val="0"/>
          <w:sz w:val="32"/>
          <w:szCs w:val="32"/>
        </w:rPr>
        <w:t>：是指湖南省体育局部门在基本支出之外，为完成特定的行政工作任务或事业发展目标所发生的支出。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w:t>
      </w:r>
      <w:r>
        <w:rPr>
          <w:rFonts w:asciiTheme="minorEastAsia" w:hAnsiTheme="minorEastAsia" w:cs="黑体" w:hint="eastAsia"/>
          <w:b/>
          <w:color w:val="000000"/>
          <w:kern w:val="0"/>
          <w:sz w:val="32"/>
          <w:szCs w:val="32"/>
        </w:rPr>
        <w:t>教育支出（类）职业教育（款）中专教育（项）</w:t>
      </w:r>
      <w:r>
        <w:rPr>
          <w:rFonts w:asciiTheme="minorEastAsia" w:hAnsiTheme="minorEastAsia" w:cs="黑体" w:hint="eastAsia"/>
          <w:color w:val="000000"/>
          <w:kern w:val="0"/>
          <w:sz w:val="32"/>
          <w:szCs w:val="32"/>
        </w:rPr>
        <w:t>：主要反映湖南省体育运动学校中职教</w:t>
      </w:r>
      <w:proofErr w:type="gramStart"/>
      <w:r>
        <w:rPr>
          <w:rFonts w:asciiTheme="minorEastAsia" w:hAnsiTheme="minorEastAsia" w:cs="黑体" w:hint="eastAsia"/>
          <w:color w:val="000000"/>
          <w:kern w:val="0"/>
          <w:sz w:val="32"/>
          <w:szCs w:val="32"/>
        </w:rPr>
        <w:t>育方面</w:t>
      </w:r>
      <w:proofErr w:type="gramEnd"/>
      <w:r>
        <w:rPr>
          <w:rFonts w:asciiTheme="minorEastAsia" w:hAnsiTheme="minorEastAsia" w:cs="黑体" w:hint="eastAsia"/>
          <w:color w:val="000000"/>
          <w:kern w:val="0"/>
          <w:sz w:val="32"/>
          <w:szCs w:val="32"/>
        </w:rPr>
        <w:t>的支出。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十一、</w:t>
      </w:r>
      <w:r>
        <w:rPr>
          <w:rFonts w:asciiTheme="minorEastAsia" w:hAnsiTheme="minorEastAsia" w:cs="黑体" w:hint="eastAsia"/>
          <w:b/>
          <w:color w:val="000000"/>
          <w:kern w:val="0"/>
          <w:sz w:val="32"/>
          <w:szCs w:val="32"/>
        </w:rPr>
        <w:t>教育支出（类）职业教育（款）高等职业教育（项）</w:t>
      </w:r>
      <w:r>
        <w:rPr>
          <w:rFonts w:asciiTheme="minorEastAsia" w:hAnsiTheme="minorEastAsia" w:cs="黑体" w:hint="eastAsia"/>
          <w:color w:val="000000"/>
          <w:kern w:val="0"/>
          <w:sz w:val="32"/>
          <w:szCs w:val="32"/>
        </w:rPr>
        <w:t>：主要反映湖南体育职业学院教育等方面支出。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十二、</w:t>
      </w:r>
      <w:r>
        <w:rPr>
          <w:rFonts w:asciiTheme="minorEastAsia" w:hAnsiTheme="minorEastAsia" w:cs="黑体" w:hint="eastAsia"/>
          <w:b/>
          <w:color w:val="000000"/>
          <w:kern w:val="0"/>
          <w:sz w:val="32"/>
          <w:szCs w:val="32"/>
        </w:rPr>
        <w:t>教育支出（类）进修及培训（款）培训支出（项）</w:t>
      </w:r>
      <w:r>
        <w:rPr>
          <w:rFonts w:asciiTheme="minorEastAsia" w:hAnsiTheme="minorEastAsia" w:cs="黑体" w:hint="eastAsia"/>
          <w:color w:val="000000"/>
          <w:kern w:val="0"/>
          <w:sz w:val="32"/>
          <w:szCs w:val="32"/>
        </w:rPr>
        <w:t>：主要反映湖南省体育局部门各单位安排的用于对相关人员进行各类培训发生的支出。</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十三、</w:t>
      </w:r>
      <w:r>
        <w:rPr>
          <w:rFonts w:asciiTheme="minorEastAsia" w:hAnsiTheme="minorEastAsia" w:cs="黑体" w:hint="eastAsia"/>
          <w:b/>
          <w:color w:val="000000"/>
          <w:kern w:val="0"/>
          <w:sz w:val="32"/>
          <w:szCs w:val="32"/>
        </w:rPr>
        <w:t>科学技术支出（类）技术研究与开发（款）应用技术研究与开发（项）</w:t>
      </w:r>
      <w:r>
        <w:rPr>
          <w:rFonts w:asciiTheme="minorEastAsia" w:hAnsiTheme="minorEastAsia" w:cs="黑体" w:hint="eastAsia"/>
          <w:color w:val="000000"/>
          <w:kern w:val="0"/>
          <w:sz w:val="32"/>
          <w:szCs w:val="32"/>
        </w:rPr>
        <w:t>：主要反映湖南体育职业学院用于省级重点研发计划项目的专项支出。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十四、</w:t>
      </w:r>
      <w:r>
        <w:rPr>
          <w:rFonts w:asciiTheme="minorEastAsia" w:hAnsiTheme="minorEastAsia" w:cs="黑体" w:hint="eastAsia"/>
          <w:b/>
          <w:color w:val="000000"/>
          <w:kern w:val="0"/>
          <w:sz w:val="32"/>
          <w:szCs w:val="32"/>
        </w:rPr>
        <w:t>科学技术支出（类）技术研究与开发（款）产业技术研究与开发（项）</w:t>
      </w:r>
      <w:r>
        <w:rPr>
          <w:rFonts w:asciiTheme="minorEastAsia" w:hAnsiTheme="minorEastAsia" w:cs="黑体" w:hint="eastAsia"/>
          <w:color w:val="000000"/>
          <w:kern w:val="0"/>
          <w:sz w:val="32"/>
          <w:szCs w:val="32"/>
        </w:rPr>
        <w:t>：主要反映湖南省体育模型和摩托艇运动管理中心用于科技发展计划的专项支出。</w:t>
      </w:r>
    </w:p>
    <w:p w:rsidR="00265915" w:rsidRDefault="00D23F2A">
      <w:pPr>
        <w:ind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十五、</w:t>
      </w:r>
      <w:r>
        <w:rPr>
          <w:rFonts w:asciiTheme="minorEastAsia" w:hAnsiTheme="minorEastAsia" w:cs="黑体" w:hint="eastAsia"/>
          <w:b/>
          <w:color w:val="000000"/>
          <w:kern w:val="0"/>
          <w:sz w:val="32"/>
          <w:szCs w:val="32"/>
        </w:rPr>
        <w:t>文化体育与传媒支出（类）体育（款）行政运行（项）</w:t>
      </w:r>
      <w:r>
        <w:rPr>
          <w:rFonts w:asciiTheme="minorEastAsia" w:hAnsiTheme="minorEastAsia" w:cs="黑体" w:hint="eastAsia"/>
          <w:color w:val="000000"/>
          <w:kern w:val="0"/>
          <w:sz w:val="32"/>
          <w:szCs w:val="32"/>
        </w:rPr>
        <w:t>：主要反映湖南省体育局局本级行政单位用于保障机构正常运转、开展日常工作的基本支出。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十六、</w:t>
      </w:r>
      <w:r>
        <w:rPr>
          <w:rFonts w:asciiTheme="minorEastAsia" w:hAnsiTheme="minorEastAsia" w:cs="黑体" w:hint="eastAsia"/>
          <w:b/>
          <w:color w:val="000000"/>
          <w:kern w:val="0"/>
          <w:sz w:val="32"/>
          <w:szCs w:val="32"/>
        </w:rPr>
        <w:t>文化体育与传媒支出（类）体育（款）一般行政管理事务（项）</w:t>
      </w:r>
      <w:r>
        <w:rPr>
          <w:rFonts w:asciiTheme="minorEastAsia" w:hAnsiTheme="minorEastAsia" w:cs="黑体" w:hint="eastAsia"/>
          <w:color w:val="000000"/>
          <w:kern w:val="0"/>
          <w:sz w:val="32"/>
          <w:szCs w:val="32"/>
        </w:rPr>
        <w:t>：主要反映湖南省体育局局本级行政单位、体育总会及老年体协的项目支出。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十七、</w:t>
      </w:r>
      <w:r>
        <w:rPr>
          <w:rFonts w:asciiTheme="minorEastAsia" w:hAnsiTheme="minorEastAsia" w:cs="黑体" w:hint="eastAsia"/>
          <w:b/>
          <w:color w:val="000000"/>
          <w:kern w:val="0"/>
          <w:sz w:val="32"/>
          <w:szCs w:val="32"/>
        </w:rPr>
        <w:t>文化体育与传媒支出（类）体育（款）机关服务（项）</w:t>
      </w:r>
      <w:r>
        <w:rPr>
          <w:rFonts w:asciiTheme="minorEastAsia" w:hAnsiTheme="minorEastAsia" w:cs="黑体" w:hint="eastAsia"/>
          <w:color w:val="000000"/>
          <w:kern w:val="0"/>
          <w:sz w:val="32"/>
          <w:szCs w:val="32"/>
        </w:rPr>
        <w:t>：主要反映湖南省体育局机关后勤服务中心的运行支出。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十八、</w:t>
      </w:r>
      <w:r>
        <w:rPr>
          <w:rFonts w:asciiTheme="minorEastAsia" w:hAnsiTheme="minorEastAsia" w:cs="黑体" w:hint="eastAsia"/>
          <w:b/>
          <w:color w:val="000000"/>
          <w:kern w:val="0"/>
          <w:sz w:val="32"/>
          <w:szCs w:val="32"/>
        </w:rPr>
        <w:t>文化体育与传媒支出（类）体育（款）运动项目管理（项）</w:t>
      </w:r>
      <w:r>
        <w:rPr>
          <w:rFonts w:asciiTheme="minorEastAsia" w:hAnsiTheme="minorEastAsia" w:cs="黑体" w:hint="eastAsia"/>
          <w:color w:val="000000"/>
          <w:kern w:val="0"/>
          <w:sz w:val="32"/>
          <w:szCs w:val="32"/>
        </w:rPr>
        <w:t>：主要反映湖南省各体育运动项目管理中心的运行和业务支出。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十九、</w:t>
      </w:r>
      <w:r>
        <w:rPr>
          <w:rFonts w:asciiTheme="minorEastAsia" w:hAnsiTheme="minorEastAsia" w:cs="黑体" w:hint="eastAsia"/>
          <w:b/>
          <w:color w:val="000000"/>
          <w:kern w:val="0"/>
          <w:sz w:val="32"/>
          <w:szCs w:val="32"/>
        </w:rPr>
        <w:t>文化体育与传媒支出（类）体育（款）体育竞赛（项）</w:t>
      </w:r>
      <w:r>
        <w:rPr>
          <w:rFonts w:asciiTheme="minorEastAsia" w:hAnsiTheme="minorEastAsia" w:cs="黑体" w:hint="eastAsia"/>
          <w:color w:val="000000"/>
          <w:kern w:val="0"/>
          <w:sz w:val="32"/>
          <w:szCs w:val="32"/>
        </w:rPr>
        <w:t>：主要反映综合性运动会及单项体育比赛支出。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二十、</w:t>
      </w:r>
      <w:r>
        <w:rPr>
          <w:rFonts w:asciiTheme="minorEastAsia" w:hAnsiTheme="minorEastAsia" w:cs="黑体" w:hint="eastAsia"/>
          <w:b/>
          <w:color w:val="000000"/>
          <w:kern w:val="0"/>
          <w:sz w:val="32"/>
          <w:szCs w:val="32"/>
        </w:rPr>
        <w:t>文化体育与传媒支出（类）体育（款）体育场馆（项）</w:t>
      </w:r>
      <w:r>
        <w:rPr>
          <w:rFonts w:asciiTheme="minorEastAsia" w:hAnsiTheme="minorEastAsia" w:cs="黑体" w:hint="eastAsia"/>
          <w:color w:val="000000"/>
          <w:kern w:val="0"/>
          <w:sz w:val="32"/>
          <w:szCs w:val="32"/>
        </w:rPr>
        <w:t>：主要反映各体育场馆的运行保障支出。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二十一、</w:t>
      </w:r>
      <w:r>
        <w:rPr>
          <w:rFonts w:asciiTheme="minorEastAsia" w:hAnsiTheme="minorEastAsia" w:cs="黑体" w:hint="eastAsia"/>
          <w:b/>
          <w:color w:val="000000"/>
          <w:kern w:val="0"/>
          <w:sz w:val="32"/>
          <w:szCs w:val="32"/>
        </w:rPr>
        <w:t>文化体育与传媒支出（类）体育（款）群众体育（项）</w:t>
      </w:r>
      <w:r>
        <w:rPr>
          <w:rFonts w:asciiTheme="minorEastAsia" w:hAnsiTheme="minorEastAsia" w:cs="黑体" w:hint="eastAsia"/>
          <w:color w:val="000000"/>
          <w:kern w:val="0"/>
          <w:sz w:val="32"/>
          <w:szCs w:val="32"/>
        </w:rPr>
        <w:t>：主要反映全民健身等群众体育活动方面的支出。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二十二、</w:t>
      </w:r>
      <w:r>
        <w:rPr>
          <w:rFonts w:asciiTheme="minorEastAsia" w:hAnsiTheme="minorEastAsia" w:cs="黑体" w:hint="eastAsia"/>
          <w:b/>
          <w:color w:val="000000"/>
          <w:kern w:val="0"/>
          <w:sz w:val="32"/>
          <w:szCs w:val="32"/>
        </w:rPr>
        <w:t>文化体育与传媒支出（类）体育（款）体育交流与合作（项）</w:t>
      </w:r>
      <w:r>
        <w:rPr>
          <w:rFonts w:asciiTheme="minorEastAsia" w:hAnsiTheme="minorEastAsia" w:cs="黑体" w:hint="eastAsia"/>
          <w:color w:val="000000"/>
          <w:kern w:val="0"/>
          <w:sz w:val="32"/>
          <w:szCs w:val="32"/>
        </w:rPr>
        <w:t>：主要反映湖南省体育人才交流服务中心运行与工作支出。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二十三、</w:t>
      </w:r>
      <w:r>
        <w:rPr>
          <w:rFonts w:asciiTheme="minorEastAsia" w:hAnsiTheme="minorEastAsia" w:cs="黑体" w:hint="eastAsia"/>
          <w:b/>
          <w:color w:val="000000"/>
          <w:kern w:val="0"/>
          <w:sz w:val="32"/>
          <w:szCs w:val="32"/>
        </w:rPr>
        <w:t>文化体育与传媒支出（类）体育（款）其他体育支出（项）</w:t>
      </w:r>
      <w:r>
        <w:rPr>
          <w:rFonts w:asciiTheme="minorEastAsia" w:hAnsiTheme="minorEastAsia" w:cs="黑体" w:hint="eastAsia"/>
          <w:color w:val="000000"/>
          <w:kern w:val="0"/>
          <w:sz w:val="32"/>
          <w:szCs w:val="32"/>
        </w:rPr>
        <w:t>：主要反映除上述项目外其他用于体育方面的支出。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二十四、</w:t>
      </w:r>
      <w:r>
        <w:rPr>
          <w:rFonts w:asciiTheme="minorEastAsia" w:hAnsiTheme="minorEastAsia" w:cs="黑体" w:hint="eastAsia"/>
          <w:b/>
          <w:color w:val="000000"/>
          <w:kern w:val="0"/>
          <w:sz w:val="32"/>
          <w:szCs w:val="32"/>
        </w:rPr>
        <w:t>文化体育与传媒（类）其他文化体育与传媒支出（款）其他文化体育与传媒支出（项）</w:t>
      </w:r>
      <w:r>
        <w:rPr>
          <w:rFonts w:asciiTheme="minorEastAsia" w:hAnsiTheme="minorEastAsia" w:cs="黑体" w:hint="eastAsia"/>
          <w:color w:val="000000"/>
          <w:kern w:val="0"/>
          <w:sz w:val="32"/>
          <w:szCs w:val="32"/>
        </w:rPr>
        <w:t>：主要反映财政部门安排用于其他文化体育与传媒方面的专项支出。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二十五、</w:t>
      </w:r>
      <w:r>
        <w:rPr>
          <w:rFonts w:asciiTheme="minorEastAsia" w:hAnsiTheme="minorEastAsia" w:cs="黑体" w:hint="eastAsia"/>
          <w:b/>
          <w:color w:val="000000"/>
          <w:kern w:val="0"/>
          <w:sz w:val="32"/>
          <w:szCs w:val="32"/>
        </w:rPr>
        <w:t>社会保障和就业支出（类）行政事业单位离退休（款）未归口管理的行政单位离退休（项）</w:t>
      </w:r>
      <w:r>
        <w:rPr>
          <w:rFonts w:asciiTheme="minorEastAsia" w:hAnsiTheme="minorEastAsia" w:cs="黑体" w:hint="eastAsia"/>
          <w:color w:val="000000"/>
          <w:kern w:val="0"/>
          <w:sz w:val="32"/>
          <w:szCs w:val="32"/>
        </w:rPr>
        <w:t>：主要反映湖南省体育局部门未实行归口管理的离退休人员的经费支出。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二十六、</w:t>
      </w:r>
      <w:r>
        <w:rPr>
          <w:rFonts w:asciiTheme="minorEastAsia" w:hAnsiTheme="minorEastAsia" w:cs="黑体" w:hint="eastAsia"/>
          <w:b/>
          <w:color w:val="000000"/>
          <w:kern w:val="0"/>
          <w:sz w:val="32"/>
          <w:szCs w:val="32"/>
        </w:rPr>
        <w:t>社会保障和就业支出（类）行政事业单位离退休（款）机关事业单位基本养老保险缴费支出（项）</w:t>
      </w:r>
      <w:r>
        <w:rPr>
          <w:rFonts w:asciiTheme="minorEastAsia" w:hAnsiTheme="minorEastAsia" w:cs="黑体" w:hint="eastAsia"/>
          <w:color w:val="000000"/>
          <w:kern w:val="0"/>
          <w:sz w:val="32"/>
          <w:szCs w:val="32"/>
        </w:rPr>
        <w:t>：主要反映湖南省体育局各单位人员基本养老保险缴费支出。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二十七、</w:t>
      </w:r>
      <w:r>
        <w:rPr>
          <w:rFonts w:asciiTheme="minorEastAsia" w:hAnsiTheme="minorEastAsia" w:cs="黑体" w:hint="eastAsia"/>
          <w:b/>
          <w:color w:val="000000"/>
          <w:kern w:val="0"/>
          <w:sz w:val="32"/>
          <w:szCs w:val="32"/>
        </w:rPr>
        <w:t>社会保障和就业支出（类）行政事业单位离退休（款）机关事业单位职业年金缴费支出（项）</w:t>
      </w:r>
      <w:r>
        <w:rPr>
          <w:rFonts w:asciiTheme="minorEastAsia" w:hAnsiTheme="minorEastAsia" w:cs="黑体" w:hint="eastAsia"/>
          <w:color w:val="000000"/>
          <w:kern w:val="0"/>
          <w:sz w:val="32"/>
          <w:szCs w:val="32"/>
        </w:rPr>
        <w:t>：主要反映湖南贺龙体育馆、郴州体育训练基地、湖南省体育局装备服务中心差额拨款单位人员单位职业年金缴费支出。</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二十八、</w:t>
      </w:r>
      <w:r>
        <w:rPr>
          <w:rFonts w:asciiTheme="minorEastAsia" w:hAnsiTheme="minorEastAsia" w:cs="黑体" w:hint="eastAsia"/>
          <w:b/>
          <w:color w:val="000000"/>
          <w:kern w:val="0"/>
          <w:sz w:val="32"/>
          <w:szCs w:val="32"/>
        </w:rPr>
        <w:t>社会保障和就业支出（类）就业补助（款）其他就业补助支出（项）</w:t>
      </w:r>
      <w:r>
        <w:rPr>
          <w:rFonts w:asciiTheme="minorEastAsia" w:hAnsiTheme="minorEastAsia" w:cs="黑体" w:hint="eastAsia"/>
          <w:color w:val="000000"/>
          <w:kern w:val="0"/>
          <w:sz w:val="32"/>
          <w:szCs w:val="32"/>
        </w:rPr>
        <w:t>。主要反映湖南体育职业学院校园招聘补助支出。</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二十九、</w:t>
      </w:r>
      <w:r>
        <w:rPr>
          <w:rFonts w:asciiTheme="minorEastAsia" w:hAnsiTheme="minorEastAsia" w:cs="黑体" w:hint="eastAsia"/>
          <w:b/>
          <w:color w:val="000000"/>
          <w:kern w:val="0"/>
          <w:sz w:val="32"/>
          <w:szCs w:val="32"/>
        </w:rPr>
        <w:t>社会保障和就业支出（类）抚恤（款）死亡抚恤（项）</w:t>
      </w:r>
      <w:r>
        <w:rPr>
          <w:rFonts w:asciiTheme="minorEastAsia" w:hAnsiTheme="minorEastAsia" w:cs="黑体" w:hint="eastAsia"/>
          <w:color w:val="000000"/>
          <w:kern w:val="0"/>
          <w:sz w:val="32"/>
          <w:szCs w:val="32"/>
        </w:rPr>
        <w:t>。主要反映单位病故人员家属的一次性抚恤金以及丧葬补助费支出。</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三十、</w:t>
      </w:r>
      <w:r>
        <w:rPr>
          <w:rFonts w:asciiTheme="minorEastAsia" w:hAnsiTheme="minorEastAsia" w:cs="黑体" w:hint="eastAsia"/>
          <w:b/>
          <w:color w:val="000000"/>
          <w:kern w:val="0"/>
          <w:sz w:val="32"/>
          <w:szCs w:val="32"/>
        </w:rPr>
        <w:t>社会保障和就业支出（类）残疾人事业（款）残疾人体育（项）</w:t>
      </w:r>
      <w:r>
        <w:rPr>
          <w:rFonts w:asciiTheme="minorEastAsia" w:hAnsiTheme="minorEastAsia" w:cs="黑体" w:hint="eastAsia"/>
          <w:color w:val="000000"/>
          <w:kern w:val="0"/>
          <w:sz w:val="32"/>
          <w:szCs w:val="32"/>
        </w:rPr>
        <w:t>。指用于</w:t>
      </w:r>
      <w:proofErr w:type="gramStart"/>
      <w:r>
        <w:rPr>
          <w:rFonts w:asciiTheme="minorEastAsia" w:hAnsiTheme="minorEastAsia" w:cs="黑体" w:hint="eastAsia"/>
          <w:color w:val="000000"/>
          <w:kern w:val="0"/>
          <w:sz w:val="32"/>
          <w:szCs w:val="32"/>
        </w:rPr>
        <w:t>于</w:t>
      </w:r>
      <w:proofErr w:type="gramEnd"/>
      <w:r>
        <w:rPr>
          <w:rFonts w:asciiTheme="minorEastAsia" w:hAnsiTheme="minorEastAsia" w:cs="黑体" w:hint="eastAsia"/>
          <w:color w:val="000000"/>
          <w:kern w:val="0"/>
          <w:sz w:val="32"/>
          <w:szCs w:val="32"/>
        </w:rPr>
        <w:t>残疾人体育方面支出，主要反映</w:t>
      </w:r>
      <w:proofErr w:type="gramStart"/>
      <w:r>
        <w:rPr>
          <w:rFonts w:asciiTheme="minorEastAsia" w:hAnsiTheme="minorEastAsia" w:cs="黑体" w:hint="eastAsia"/>
          <w:color w:val="000000"/>
          <w:kern w:val="0"/>
          <w:sz w:val="32"/>
          <w:szCs w:val="32"/>
        </w:rPr>
        <w:t>里约残奥</w:t>
      </w:r>
      <w:proofErr w:type="gramEnd"/>
      <w:r>
        <w:rPr>
          <w:rFonts w:asciiTheme="minorEastAsia" w:hAnsiTheme="minorEastAsia" w:cs="黑体" w:hint="eastAsia"/>
          <w:color w:val="000000"/>
          <w:kern w:val="0"/>
          <w:sz w:val="32"/>
          <w:szCs w:val="32"/>
        </w:rPr>
        <w:t>会奖金支出。</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三十一、</w:t>
      </w:r>
      <w:r>
        <w:rPr>
          <w:rFonts w:asciiTheme="minorEastAsia" w:hAnsiTheme="minorEastAsia" w:cs="黑体" w:hint="eastAsia"/>
          <w:b/>
          <w:color w:val="000000"/>
          <w:kern w:val="0"/>
          <w:sz w:val="32"/>
          <w:szCs w:val="32"/>
        </w:rPr>
        <w:t>社会保障和就业支出（类）其他社会保障和就业支出（款）其他社会保障和就业支出（项）</w:t>
      </w:r>
      <w:r>
        <w:rPr>
          <w:rFonts w:asciiTheme="minorEastAsia" w:hAnsiTheme="minorEastAsia" w:cs="黑体" w:hint="eastAsia"/>
          <w:color w:val="000000"/>
          <w:kern w:val="0"/>
          <w:sz w:val="32"/>
          <w:szCs w:val="32"/>
        </w:rPr>
        <w:t>。指其他社会保障和就业支出，主要</w:t>
      </w:r>
      <w:proofErr w:type="gramStart"/>
      <w:r>
        <w:rPr>
          <w:rFonts w:asciiTheme="minorEastAsia" w:hAnsiTheme="minorEastAsia" w:cs="黑体" w:hint="eastAsia"/>
          <w:color w:val="000000"/>
          <w:kern w:val="0"/>
          <w:sz w:val="32"/>
          <w:szCs w:val="32"/>
        </w:rPr>
        <w:t>反映省</w:t>
      </w:r>
      <w:proofErr w:type="gramEnd"/>
      <w:r>
        <w:rPr>
          <w:rFonts w:asciiTheme="minorEastAsia" w:hAnsiTheme="minorEastAsia" w:cs="黑体" w:hint="eastAsia"/>
          <w:color w:val="000000"/>
          <w:kern w:val="0"/>
          <w:sz w:val="32"/>
          <w:szCs w:val="32"/>
        </w:rPr>
        <w:t>体育局部</w:t>
      </w:r>
      <w:proofErr w:type="gramStart"/>
      <w:r>
        <w:rPr>
          <w:rFonts w:asciiTheme="minorEastAsia" w:hAnsiTheme="minorEastAsia" w:cs="黑体" w:hint="eastAsia"/>
          <w:color w:val="000000"/>
          <w:kern w:val="0"/>
          <w:sz w:val="32"/>
          <w:szCs w:val="32"/>
        </w:rPr>
        <w:t>门用于</w:t>
      </w:r>
      <w:proofErr w:type="gramEnd"/>
      <w:r w:rsidR="00B150F8">
        <w:rPr>
          <w:rFonts w:asciiTheme="minorEastAsia" w:hAnsiTheme="minorEastAsia" w:cs="黑体" w:hint="eastAsia"/>
          <w:color w:val="000000"/>
          <w:kern w:val="0"/>
          <w:sz w:val="32"/>
          <w:szCs w:val="32"/>
        </w:rPr>
        <w:t>中华人民共和国成立</w:t>
      </w:r>
      <w:r>
        <w:rPr>
          <w:rFonts w:asciiTheme="minorEastAsia" w:hAnsiTheme="minorEastAsia" w:cs="黑体" w:hint="eastAsia"/>
          <w:color w:val="000000"/>
          <w:kern w:val="0"/>
          <w:sz w:val="32"/>
          <w:szCs w:val="32"/>
        </w:rPr>
        <w:t>初期参加革命工作人员的支出。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三十二、</w:t>
      </w:r>
      <w:r>
        <w:rPr>
          <w:rFonts w:asciiTheme="minorEastAsia" w:hAnsiTheme="minorEastAsia" w:cs="黑体" w:hint="eastAsia"/>
          <w:b/>
          <w:color w:val="000000"/>
          <w:kern w:val="0"/>
          <w:sz w:val="32"/>
          <w:szCs w:val="32"/>
        </w:rPr>
        <w:t>医疗卫生与计划生育支出（类）公立医院（款）其他专科医院（项）</w:t>
      </w:r>
      <w:r>
        <w:rPr>
          <w:rFonts w:asciiTheme="minorEastAsia" w:hAnsiTheme="minorEastAsia" w:cs="黑体" w:hint="eastAsia"/>
          <w:color w:val="000000"/>
          <w:kern w:val="0"/>
          <w:sz w:val="32"/>
          <w:szCs w:val="32"/>
        </w:rPr>
        <w:t>：主要指湖南省</w:t>
      </w:r>
      <w:bookmarkStart w:id="3" w:name="_GoBack"/>
      <w:bookmarkEnd w:id="3"/>
      <w:r>
        <w:rPr>
          <w:rFonts w:asciiTheme="minorEastAsia" w:hAnsiTheme="minorEastAsia" w:cs="黑体" w:hint="eastAsia"/>
          <w:color w:val="000000"/>
          <w:kern w:val="0"/>
          <w:sz w:val="32"/>
          <w:szCs w:val="32"/>
        </w:rPr>
        <w:t>体育运动专科医院的支出。</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三十三、</w:t>
      </w:r>
      <w:r>
        <w:rPr>
          <w:rFonts w:asciiTheme="minorEastAsia" w:hAnsiTheme="minorEastAsia" w:cs="黑体" w:hint="eastAsia"/>
          <w:b/>
          <w:color w:val="000000"/>
          <w:kern w:val="0"/>
          <w:sz w:val="32"/>
          <w:szCs w:val="32"/>
        </w:rPr>
        <w:t>医疗卫生与计划生育支出（类）行政事业单位医疗（款）行政单位医疗（项）</w:t>
      </w:r>
      <w:r>
        <w:rPr>
          <w:rFonts w:asciiTheme="minorEastAsia" w:hAnsiTheme="minorEastAsia" w:cs="黑体" w:hint="eastAsia"/>
          <w:color w:val="000000"/>
          <w:kern w:val="0"/>
          <w:sz w:val="32"/>
          <w:szCs w:val="32"/>
        </w:rPr>
        <w:t>。</w:t>
      </w:r>
      <w:proofErr w:type="gramStart"/>
      <w:r>
        <w:rPr>
          <w:rFonts w:asciiTheme="minorEastAsia" w:hAnsiTheme="minorEastAsia" w:cs="黑体" w:hint="eastAsia"/>
          <w:color w:val="000000"/>
          <w:kern w:val="0"/>
          <w:sz w:val="32"/>
          <w:szCs w:val="32"/>
        </w:rPr>
        <w:t>指局机关</w:t>
      </w:r>
      <w:proofErr w:type="gramEnd"/>
      <w:r>
        <w:rPr>
          <w:rFonts w:asciiTheme="minorEastAsia" w:hAnsiTheme="minorEastAsia" w:cs="黑体" w:hint="eastAsia"/>
          <w:color w:val="000000"/>
          <w:kern w:val="0"/>
          <w:sz w:val="32"/>
          <w:szCs w:val="32"/>
        </w:rPr>
        <w:t>行政单位离休干部医疗保障经费支出。</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三十四、</w:t>
      </w:r>
      <w:r>
        <w:rPr>
          <w:rFonts w:asciiTheme="minorEastAsia" w:hAnsiTheme="minorEastAsia" w:cs="黑体" w:hint="eastAsia"/>
          <w:b/>
          <w:color w:val="000000"/>
          <w:kern w:val="0"/>
          <w:sz w:val="32"/>
          <w:szCs w:val="32"/>
        </w:rPr>
        <w:t>医疗卫生与计划生育支出（类）行政事业单位医疗（款）事业单位医疗（项）</w:t>
      </w:r>
      <w:r>
        <w:rPr>
          <w:rFonts w:asciiTheme="minorEastAsia" w:hAnsiTheme="minorEastAsia" w:cs="黑体" w:hint="eastAsia"/>
          <w:color w:val="000000"/>
          <w:kern w:val="0"/>
          <w:sz w:val="32"/>
          <w:szCs w:val="32"/>
        </w:rPr>
        <w:t>。指事业离休干部医疗保障经费支出。</w:t>
      </w:r>
    </w:p>
    <w:p w:rsidR="00265915" w:rsidRDefault="00D23F2A">
      <w:pPr>
        <w:widowControl/>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三十五、</w:t>
      </w:r>
      <w:r>
        <w:rPr>
          <w:rFonts w:asciiTheme="minorEastAsia" w:hAnsiTheme="minorEastAsia" w:cs="黑体" w:hint="eastAsia"/>
          <w:b/>
          <w:color w:val="000000"/>
          <w:kern w:val="0"/>
          <w:sz w:val="32"/>
          <w:szCs w:val="32"/>
        </w:rPr>
        <w:t>医疗卫生与计划生育支出（类）行政事业单位医疗（款）其他行政事业单位医疗支出（项）</w:t>
      </w:r>
      <w:r>
        <w:rPr>
          <w:rFonts w:asciiTheme="minorEastAsia" w:hAnsiTheme="minorEastAsia" w:cs="黑体" w:hint="eastAsia"/>
          <w:color w:val="000000"/>
          <w:kern w:val="0"/>
          <w:sz w:val="32"/>
          <w:szCs w:val="32"/>
        </w:rPr>
        <w:t>。指其他离退休干部医疗保障经费支出。</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三十六、</w:t>
      </w:r>
      <w:r>
        <w:rPr>
          <w:rFonts w:asciiTheme="minorEastAsia" w:hAnsiTheme="minorEastAsia" w:cs="黑体" w:hint="eastAsia"/>
          <w:b/>
          <w:color w:val="000000"/>
          <w:kern w:val="0"/>
          <w:sz w:val="32"/>
          <w:szCs w:val="32"/>
        </w:rPr>
        <w:t>住房保障支出（类）住房改革支出（款） 住房公积金（项）</w:t>
      </w:r>
      <w:r>
        <w:rPr>
          <w:rFonts w:asciiTheme="minorEastAsia" w:hAnsiTheme="minorEastAsia" w:cs="黑体" w:hint="eastAsia"/>
          <w:color w:val="000000"/>
          <w:kern w:val="0"/>
          <w:sz w:val="32"/>
          <w:szCs w:val="32"/>
        </w:rPr>
        <w:t>：指按照《住房公积金管理条例》的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规范后发放的工作性津贴和生活性补贴等；事业单位缴存基数包括国家统一规定的岗位工资、薪级工资、绩效工资、特殊岗位津贴等。单位和职工住房公积金缴存比例均不得低于5%，不得高于12%。</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三十七、</w:t>
      </w:r>
      <w:r>
        <w:rPr>
          <w:rFonts w:asciiTheme="minorEastAsia" w:hAnsiTheme="minorEastAsia" w:cs="黑体" w:hint="eastAsia"/>
          <w:b/>
          <w:color w:val="000000"/>
          <w:kern w:val="0"/>
          <w:sz w:val="32"/>
          <w:szCs w:val="32"/>
        </w:rPr>
        <w:t>住房保障支出（类）住房改革支出（款） 购房补贴（项）</w:t>
      </w:r>
      <w:r>
        <w:rPr>
          <w:rFonts w:asciiTheme="minorEastAsia" w:hAnsiTheme="minorEastAsia" w:cs="黑体" w:hint="eastAsia"/>
          <w:color w:val="000000"/>
          <w:kern w:val="0"/>
          <w:sz w:val="32"/>
          <w:szCs w:val="32"/>
        </w:rPr>
        <w:t>：指根据《国务院关于进一步深化城镇住房制度改革加快住房建设的通知》（国发〔1998〕23号）规定，自1998年下半年停止实物分房后，对房价</w:t>
      </w:r>
      <w:r>
        <w:rPr>
          <w:rFonts w:asciiTheme="minorEastAsia" w:hAnsiTheme="minorEastAsia" w:cs="黑体" w:hint="eastAsia"/>
          <w:color w:val="000000"/>
          <w:kern w:val="0"/>
          <w:sz w:val="32"/>
          <w:szCs w:val="32"/>
        </w:rPr>
        <w:lastRenderedPageBreak/>
        <w:t>收入比超过4倍以上地区的无房和住房未达标职工发放的住房货币化改革补贴资金。</w:t>
      </w:r>
    </w:p>
    <w:p w:rsidR="00265915" w:rsidRDefault="00D23F2A">
      <w:pPr>
        <w:ind w:firstLine="62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三十八、</w:t>
      </w:r>
      <w:r>
        <w:rPr>
          <w:rFonts w:asciiTheme="minorEastAsia" w:hAnsiTheme="minorEastAsia" w:cs="黑体" w:hint="eastAsia"/>
          <w:b/>
          <w:color w:val="000000"/>
          <w:kern w:val="0"/>
          <w:sz w:val="32"/>
          <w:szCs w:val="32"/>
        </w:rPr>
        <w:t>其他支出（类）彩票公益金及对应专项债务收入安排的支出（款） 用于体育事业的彩票公益金支出（项）</w:t>
      </w:r>
      <w:r>
        <w:rPr>
          <w:rFonts w:asciiTheme="minorEastAsia" w:hAnsiTheme="minorEastAsia" w:cs="黑体" w:hint="eastAsia"/>
          <w:color w:val="000000"/>
          <w:kern w:val="0"/>
          <w:sz w:val="32"/>
          <w:szCs w:val="32"/>
        </w:rPr>
        <w:t>：指用于体育事业的体育彩票公益金支出。</w:t>
      </w:r>
    </w:p>
    <w:p w:rsidR="00265915" w:rsidRDefault="00D23F2A">
      <w:pPr>
        <w:ind w:firstLine="645"/>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三十九、</w:t>
      </w:r>
      <w:r>
        <w:rPr>
          <w:rFonts w:asciiTheme="minorEastAsia" w:hAnsiTheme="minorEastAsia" w:cs="黑体" w:hint="eastAsia"/>
          <w:b/>
          <w:color w:val="000000"/>
          <w:kern w:val="0"/>
          <w:sz w:val="32"/>
          <w:szCs w:val="32"/>
        </w:rPr>
        <w:t>机关运行经费</w:t>
      </w:r>
      <w:r>
        <w:rPr>
          <w:rFonts w:asciiTheme="minorEastAsia" w:hAnsiTheme="minorEastAsia" w:cs="黑体" w:hint="eastAsia"/>
          <w:color w:val="000000"/>
          <w:kern w:val="0"/>
          <w:sz w:val="32"/>
          <w:szCs w:val="32"/>
        </w:rPr>
        <w:t>：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65915" w:rsidRDefault="00265915">
      <w:pPr>
        <w:ind w:firstLine="645"/>
        <w:rPr>
          <w:rFonts w:asciiTheme="minorEastAsia" w:hAnsiTheme="minorEastAsia" w:cs="黑体"/>
          <w:color w:val="000000"/>
          <w:kern w:val="0"/>
          <w:sz w:val="32"/>
          <w:szCs w:val="3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265915">
      <w:pPr>
        <w:pStyle w:val="Default"/>
        <w:jc w:val="center"/>
        <w:rPr>
          <w:sz w:val="72"/>
          <w:szCs w:val="72"/>
        </w:rPr>
      </w:pPr>
    </w:p>
    <w:p w:rsidR="00265915" w:rsidRDefault="00D23F2A">
      <w:pPr>
        <w:pStyle w:val="Default"/>
        <w:jc w:val="center"/>
        <w:rPr>
          <w:sz w:val="72"/>
          <w:szCs w:val="72"/>
        </w:rPr>
      </w:pPr>
      <w:r>
        <w:rPr>
          <w:rFonts w:hint="eastAsia"/>
          <w:sz w:val="72"/>
          <w:szCs w:val="72"/>
        </w:rPr>
        <w:t>第五部分</w:t>
      </w:r>
    </w:p>
    <w:p w:rsidR="00265915" w:rsidRDefault="00265915">
      <w:pPr>
        <w:jc w:val="center"/>
        <w:rPr>
          <w:rFonts w:ascii="黑体" w:eastAsia="黑体" w:cs="黑体"/>
          <w:color w:val="000000"/>
          <w:kern w:val="0"/>
          <w:sz w:val="70"/>
          <w:szCs w:val="70"/>
        </w:rPr>
      </w:pPr>
    </w:p>
    <w:p w:rsidR="00265915" w:rsidRDefault="00D23F2A">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265915" w:rsidRDefault="00D23F2A">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265915" w:rsidRDefault="00D23F2A">
      <w:pPr>
        <w:pStyle w:val="1"/>
        <w:spacing w:line="70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2021年度湖南省体育局部</w:t>
      </w:r>
      <w:proofErr w:type="gramStart"/>
      <w:r>
        <w:rPr>
          <w:rFonts w:ascii="方正小标宋简体" w:eastAsia="方正小标宋简体" w:hAnsi="方正小标宋简体" w:cs="方正小标宋简体" w:hint="eastAsia"/>
          <w:bCs/>
          <w:sz w:val="44"/>
          <w:szCs w:val="44"/>
        </w:rPr>
        <w:t>门整体</w:t>
      </w:r>
      <w:proofErr w:type="gramEnd"/>
      <w:r>
        <w:rPr>
          <w:rFonts w:ascii="方正小标宋简体" w:eastAsia="方正小标宋简体" w:hAnsi="方正小标宋简体" w:cs="方正小标宋简体" w:hint="eastAsia"/>
          <w:bCs/>
          <w:sz w:val="44"/>
          <w:szCs w:val="44"/>
        </w:rPr>
        <w:t>支出</w:t>
      </w:r>
    </w:p>
    <w:p w:rsidR="00265915" w:rsidRDefault="00D23F2A">
      <w:pPr>
        <w:pStyle w:val="1"/>
        <w:spacing w:line="70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绩效自评报告</w:t>
      </w:r>
    </w:p>
    <w:p w:rsidR="00265915" w:rsidRDefault="00265915">
      <w:pPr>
        <w:ind w:firstLineChars="200" w:firstLine="640"/>
        <w:rPr>
          <w:rFonts w:ascii="仿宋_GB2312" w:eastAsia="仿宋_GB2312" w:hAnsi="仿宋_GB2312" w:cs="仿宋_GB2312"/>
          <w:sz w:val="32"/>
          <w:szCs w:val="32"/>
        </w:rPr>
      </w:pP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和加强预算资金管理，提高财政资金使用效益，根据《中共湖南省委办公厅湖南省人民政府办公厅关于全面实施预算绩效管理的实施意见》、《湖南省财政厅关于开展2021年度部门整体支出绩效自评工作的通知》（</w:t>
      </w:r>
      <w:proofErr w:type="gramStart"/>
      <w:r>
        <w:rPr>
          <w:rFonts w:ascii="仿宋_GB2312" w:eastAsia="仿宋_GB2312" w:hAnsi="仿宋_GB2312" w:cs="仿宋_GB2312" w:hint="eastAsia"/>
          <w:sz w:val="32"/>
          <w:szCs w:val="32"/>
        </w:rPr>
        <w:t>湘财绩〔2022〕</w:t>
      </w:r>
      <w:proofErr w:type="gramEnd"/>
      <w:r>
        <w:rPr>
          <w:rFonts w:ascii="仿宋_GB2312" w:eastAsia="仿宋_GB2312" w:hAnsi="仿宋_GB2312" w:cs="仿宋_GB2312" w:hint="eastAsia"/>
          <w:sz w:val="32"/>
          <w:szCs w:val="32"/>
        </w:rPr>
        <w:t>1号）要求，湖南省体育局组织绩效自评工作小组，对各预算单位、市州体育部门下发了自评通知，自2022年4月25日至5月25日对省体育局下属预算单位部门整体支出和转移支付资金进行了绩效自评。根据财政支出绩效评价的有关规定，形成本评价报告。</w:t>
      </w:r>
    </w:p>
    <w:p w:rsidR="00265915" w:rsidRDefault="00D23F2A">
      <w:pPr>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265915" w:rsidRDefault="00D23F2A">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（一）部门职责</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湖南省体育局是湖南省人民政府管理全省体育工作的职能部门，主要职责是：</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贯彻执行国家体育工作政策和法规，起草有关地方性法规、规章草案。</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研究全省体育发展战略，制定体育事业发展规划，协调区域性体育事业发展，负责推动多元化体育服务体系建设，推进体育公共服务和体育体制改革。</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统筹规划群众体育发展，负责推行全民健身计划，指导群众性体育活动的开展，监督实施国家体育锻炼标准，推动国民体质监测和社会体育指导工作队伍制度建设，指导公共体育设施的建设，负责公共体育设施的监督管理。</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统筹规划竞技体育发展，研究全省体育竞赛项目的设置与布局，组</w:t>
      </w:r>
      <w:r>
        <w:rPr>
          <w:rFonts w:ascii="仿宋_GB2312" w:eastAsia="仿宋_GB2312" w:hAnsi="仿宋_GB2312" w:cs="仿宋_GB2312" w:hint="eastAsia"/>
          <w:sz w:val="32"/>
          <w:szCs w:val="32"/>
        </w:rPr>
        <w:lastRenderedPageBreak/>
        <w:t>织管理体育训练、体育竞赛、运动队伍建设，协调运动员社会保障工作。</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统筹规划青少年体育发展，加强体育后备人才建设，指导和推进青少年体育工作。</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组织开展体育领域的科研活动及成果推广，负责组织、协调、监督体育运动中的反兴奋剂工作。</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拟订体育产业发展规划、政策，发展体育市场，规范体育服务管理，推动体育标准化建设，负责体育彩票发行管理。</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承办省人民政府交办的其他事项。</w:t>
      </w:r>
    </w:p>
    <w:p w:rsidR="00265915" w:rsidRDefault="00D23F2A">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（二）机构情况</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南省体育局属湖南省人民政府直属机构，局机关内设办公室、群众体育处、竞技体育与科技处、青少年体育处、体育经济处、政策法规宣传处、人事教育处7个职能处室，省纪委监委驻局纪检监察组、离退休人员管理服务处、机关党委机构按有关规定设置，局机关后勤中心、老年人体育协会机构和编制实行单列。</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纳入本部门决算汇编范围的独立核算单位共20个，其中局本级行政单位1个，二级事业单位19个。19个二级事业单位中公益一类事业单位12个，分别为湖南省体育人才交流中心、湖南省体操运动管理中心、湖南省水上运动管理中心、湖南省航空运动管理中心、湖南省体育模型和摩托艇运动管理中心、湖南省田径运动管理中心、湖南省羽毛球乒乓球运动管理中心、湖南省举重运动管理中心、湖南省网球足球运动中心、湖南省游泳运动管理中心、湖南省射击运动管理中心、湖南省摔柔</w:t>
      </w:r>
      <w:proofErr w:type="gramStart"/>
      <w:r>
        <w:rPr>
          <w:rFonts w:ascii="仿宋_GB2312" w:eastAsia="仿宋_GB2312" w:hAnsi="仿宋_GB2312" w:cs="仿宋_GB2312" w:hint="eastAsia"/>
          <w:sz w:val="32"/>
          <w:szCs w:val="32"/>
        </w:rPr>
        <w:t>跆</w:t>
      </w:r>
      <w:proofErr w:type="gramEnd"/>
      <w:r>
        <w:rPr>
          <w:rFonts w:ascii="仿宋_GB2312" w:eastAsia="仿宋_GB2312" w:hAnsi="仿宋_GB2312" w:cs="仿宋_GB2312" w:hint="eastAsia"/>
          <w:sz w:val="32"/>
          <w:szCs w:val="32"/>
        </w:rPr>
        <w:t>运动管理中心。公益二类事业单位7个，分别为湖南省体育场、湖南郴州体育训练基地、湖南贺龙体育馆、湖南体育职业学院、湖南省体育运动医疗专科医院、湖南省体育局装备服务中心、湖南省社会体育指导服务中心。较</w:t>
      </w:r>
      <w:r>
        <w:rPr>
          <w:rFonts w:ascii="仿宋_GB2312" w:eastAsia="仿宋_GB2312" w:hAnsi="仿宋_GB2312" w:cs="仿宋_GB2312" w:hint="eastAsia"/>
          <w:sz w:val="32"/>
          <w:szCs w:val="32"/>
        </w:rPr>
        <w:lastRenderedPageBreak/>
        <w:t>上年度，</w:t>
      </w:r>
      <w:proofErr w:type="gramStart"/>
      <w:r>
        <w:rPr>
          <w:rFonts w:ascii="仿宋_GB2312" w:eastAsia="仿宋_GB2312" w:hAnsi="仿宋_GB2312" w:cs="仿宋_GB2312" w:hint="eastAsia"/>
          <w:sz w:val="32"/>
          <w:szCs w:val="32"/>
        </w:rPr>
        <w:t>机构数无变化</w:t>
      </w:r>
      <w:proofErr w:type="gramEnd"/>
      <w:r>
        <w:rPr>
          <w:rFonts w:ascii="仿宋_GB2312" w:eastAsia="仿宋_GB2312" w:hAnsi="仿宋_GB2312" w:cs="仿宋_GB2312" w:hint="eastAsia"/>
          <w:sz w:val="32"/>
          <w:szCs w:val="32"/>
        </w:rPr>
        <w:t>。</w:t>
      </w:r>
    </w:p>
    <w:p w:rsidR="00265915" w:rsidRDefault="00D23F2A">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（三）人员情况</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年末，纳入本部门决算汇编范围预算单位年末实有人数1,539人，全部为一般公共预算财政拨款（补助）开支人员。其中，在职人员1,533人（包括行政人员61人，不含省纪委监委驻局纪检监察组编制人员7人；事业人员1,472人），离休人员11人。年末其他人员135人，主要为</w:t>
      </w:r>
      <w:proofErr w:type="gramStart"/>
      <w:r>
        <w:rPr>
          <w:rFonts w:ascii="仿宋_GB2312" w:eastAsia="仿宋_GB2312" w:hAnsi="仿宋_GB2312" w:cs="仿宋_GB2312" w:hint="eastAsia"/>
          <w:sz w:val="32"/>
          <w:szCs w:val="32"/>
        </w:rPr>
        <w:t>事业单位长聘人员</w:t>
      </w:r>
      <w:proofErr w:type="gramEnd"/>
      <w:r>
        <w:rPr>
          <w:rFonts w:ascii="仿宋_GB2312" w:eastAsia="仿宋_GB2312" w:hAnsi="仿宋_GB2312" w:cs="仿宋_GB2312" w:hint="eastAsia"/>
          <w:sz w:val="32"/>
          <w:szCs w:val="32"/>
        </w:rPr>
        <w:t>，其中湖南省体育职业学院外聘教职人员92人，省水上运动管理中心外聘教练员、运动员10人，省体育局装备服务中心长期聘用人员6人。退休人员863人由养老保险基金发放养老金，不在实有人数统计范围。年末学生人数5809人，为湖南体育职业学院年末学生数。</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与2020年度相比，部门年末实有总人数净增加5人，增幅0.32%，其中：在职人员总人数净增加6人（行政人员数持平人，事业</w:t>
      </w:r>
      <w:proofErr w:type="gramStart"/>
      <w:r>
        <w:rPr>
          <w:rFonts w:ascii="仿宋_GB2312" w:eastAsia="仿宋_GB2312" w:hAnsi="仿宋_GB2312" w:cs="仿宋_GB2312" w:hint="eastAsia"/>
          <w:sz w:val="32"/>
          <w:szCs w:val="32"/>
        </w:rPr>
        <w:t>人员数净减少</w:t>
      </w:r>
      <w:proofErr w:type="gramEnd"/>
      <w:r>
        <w:rPr>
          <w:rFonts w:ascii="仿宋_GB2312" w:eastAsia="仿宋_GB2312" w:hAnsi="仿宋_GB2312" w:cs="仿宋_GB2312" w:hint="eastAsia"/>
          <w:sz w:val="32"/>
          <w:szCs w:val="32"/>
        </w:rPr>
        <w:t>6人），增幅0.39%；离休人员减少（去世）1人。年末学生数减少253人，增幅4.55%。</w:t>
      </w:r>
    </w:p>
    <w:p w:rsidR="00265915" w:rsidRDefault="00D23F2A">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（四）年度绩效目标</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整体支出绩效目标</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落实《全民健身条例》，深化体育事业改革，推动我省群众体育、竞技体育、青少年体育和体育产业全面发展，积极备战奥运会、全运会、冬奥会，启动体育发展十四五规划，保障各项体育工作取得良好成效。</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其他事业类发展资金绩效目标</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努力打造群众体育</w:t>
      </w:r>
      <w:proofErr w:type="gramStart"/>
      <w:r>
        <w:rPr>
          <w:rFonts w:ascii="仿宋_GB2312" w:eastAsia="仿宋_GB2312" w:hAnsi="仿宋_GB2312" w:cs="仿宋_GB2312" w:hint="eastAsia"/>
          <w:sz w:val="32"/>
          <w:szCs w:val="32"/>
        </w:rPr>
        <w:t>品牌赛事</w:t>
      </w:r>
      <w:proofErr w:type="gramEnd"/>
      <w:r>
        <w:rPr>
          <w:rFonts w:ascii="仿宋_GB2312" w:eastAsia="仿宋_GB2312" w:hAnsi="仿宋_GB2312" w:cs="仿宋_GB2312" w:hint="eastAsia"/>
          <w:sz w:val="32"/>
          <w:szCs w:val="32"/>
        </w:rPr>
        <w:t>活动。精心组织“百万人上冰”活动、“全民健身挑战日”、“全民健身节”、“传统龙船赛”、“走红军走过的路”等活动，创建“一县一品”、“江、湖、山、道”全民健身主题特色品牌活动，完成23次群体赛事活动，参与赛事活动人数超过400万人；备战东</w:t>
      </w:r>
      <w:r>
        <w:rPr>
          <w:rFonts w:ascii="仿宋_GB2312" w:eastAsia="仿宋_GB2312" w:hAnsi="仿宋_GB2312" w:cs="仿宋_GB2312" w:hint="eastAsia"/>
          <w:sz w:val="32"/>
          <w:szCs w:val="32"/>
        </w:rPr>
        <w:lastRenderedPageBreak/>
        <w:t>京奥运会和冬运会、全运会，获得不少于2枚奖牌数量；构建新的全国青少年U系列竞赛体系，开展不少于6次青少年体育活动；落实全国各级各类体校教练员人才教育培训规划（2018-2022），加强教练员队伍建设。</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业务工作经费绩效目标</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补助全省中小型体育场馆数量不少于77家，保障各场馆投入使用，满足群众健身需求，促进体育事业发展。</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运行维护经费绩效目标</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改善办公及场馆设施条件，提高工作效率，提升服务水平。</w:t>
      </w:r>
    </w:p>
    <w:p w:rsidR="00265915" w:rsidRDefault="00D23F2A">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（五）部门收支情况</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南省体育局部门年初预算收入58,538.31万元，年初预算支出58,538.31万元，本部门收入调整预算数为72,026.29万元，支出调整预算数为72,026.29万元。纳入省体育局部门预算管理的各单位本年度实际收到的部门总收入72,663.67万元。包括一般公共预算财政拨款收入44,328.30万元、政府性基金预算财政15,300.47万元、事业收入2,899.67万元，经营收入80.44万元、其他收入45.01万元、年初结转和结余9,809.72万元、使用非财政拨款结余200.06万元。本年支出64,829.67万元，其中基本支出28,795.71万元、项目支出35,998.91万元、经营支出35.05万元。年末结转和结余7,712.50元，结余分配121.50万元。其中财政拨款结转和结余7,378.30万元（一般公共预算财政拨款结余3,441.08万元，政府性基金预算财政拨款结余3,937.22万元）。</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基本支出主要为</w:t>
      </w:r>
      <w:proofErr w:type="gramStart"/>
      <w:r>
        <w:rPr>
          <w:rFonts w:ascii="仿宋_GB2312" w:eastAsia="仿宋_GB2312" w:hAnsi="仿宋_GB2312" w:cs="仿宋_GB2312" w:hint="eastAsia"/>
          <w:sz w:val="32"/>
          <w:szCs w:val="32"/>
        </w:rPr>
        <w:t>括</w:t>
      </w:r>
      <w:proofErr w:type="gramEnd"/>
      <w:r>
        <w:rPr>
          <w:rFonts w:ascii="仿宋_GB2312" w:eastAsia="仿宋_GB2312" w:hAnsi="仿宋_GB2312" w:cs="仿宋_GB2312" w:hint="eastAsia"/>
          <w:sz w:val="32"/>
          <w:szCs w:val="32"/>
        </w:rPr>
        <w:t>保障局机关及各二级预算单位机构运转、人员工资福利支出、公用支出。其中人员经费24,823.18万元、日常公用经费3,972.53万元；项目支出包含运行维护经费、业务工作经费、其他事业类发展资金、省级专项资金。其中运行维护经费运行维护经费1,176.46万元，</w:t>
      </w:r>
      <w:r>
        <w:rPr>
          <w:rFonts w:ascii="仿宋_GB2312" w:eastAsia="仿宋_GB2312" w:hAnsi="仿宋_GB2312" w:cs="仿宋_GB2312" w:hint="eastAsia"/>
          <w:sz w:val="32"/>
          <w:szCs w:val="32"/>
        </w:rPr>
        <w:lastRenderedPageBreak/>
        <w:t>支出内容主要为局大院物业管理经费、各直属单位维修及办公设备购置</w:t>
      </w:r>
      <w:proofErr w:type="gramStart"/>
      <w:r>
        <w:rPr>
          <w:rFonts w:ascii="仿宋_GB2312" w:eastAsia="仿宋_GB2312" w:hAnsi="仿宋_GB2312" w:cs="仿宋_GB2312" w:hint="eastAsia"/>
          <w:sz w:val="32"/>
          <w:szCs w:val="32"/>
        </w:rPr>
        <w:t>专项等</w:t>
      </w:r>
      <w:proofErr w:type="gramEnd"/>
      <w:r>
        <w:rPr>
          <w:rFonts w:ascii="仿宋_GB2312" w:eastAsia="仿宋_GB2312" w:hAnsi="仿宋_GB2312" w:cs="仿宋_GB2312" w:hint="eastAsia"/>
          <w:sz w:val="32"/>
          <w:szCs w:val="32"/>
        </w:rPr>
        <w:t>事项；业务工作经费17,309.04万元，支出内容主要为审计及绩效评价事务专项、运动服务器材购置、奥运会备战经费、体育行业特有工种职业技能鉴定、退役运动员职业转型培训、运动员食品供应商招募及推荐活动、体育职</w:t>
      </w:r>
      <w:proofErr w:type="gramStart"/>
      <w:r>
        <w:rPr>
          <w:rFonts w:ascii="仿宋_GB2312" w:eastAsia="仿宋_GB2312" w:hAnsi="仿宋_GB2312" w:cs="仿宋_GB2312" w:hint="eastAsia"/>
          <w:sz w:val="32"/>
          <w:szCs w:val="32"/>
        </w:rPr>
        <w:t>院教育专项等</w:t>
      </w:r>
      <w:proofErr w:type="gramEnd"/>
      <w:r>
        <w:rPr>
          <w:rFonts w:ascii="仿宋_GB2312" w:eastAsia="仿宋_GB2312" w:hAnsi="仿宋_GB2312" w:cs="仿宋_GB2312" w:hint="eastAsia"/>
          <w:sz w:val="32"/>
          <w:szCs w:val="32"/>
        </w:rPr>
        <w:t>事项；其他事业类发展资金16,845.37万元，支出内容为省本级使用的体育彩票公益金（含奥运争光、体育后备人才培养、群体活动、群众体育设施建设、公共体育设施建设等）、体育事业发展资金、文化体育与传媒专项资金、其他文化体育与传媒等事项；省级专项资金668.04万元，支出内容为高校“双一流”建设专项、教育综合发展专项、省预算内基本建设</w:t>
      </w:r>
      <w:proofErr w:type="gramStart"/>
      <w:r>
        <w:rPr>
          <w:rFonts w:ascii="仿宋_GB2312" w:eastAsia="仿宋_GB2312" w:hAnsi="仿宋_GB2312" w:cs="仿宋_GB2312" w:hint="eastAsia"/>
          <w:sz w:val="32"/>
          <w:szCs w:val="32"/>
        </w:rPr>
        <w:t>专项等</w:t>
      </w:r>
      <w:proofErr w:type="gramEnd"/>
      <w:r>
        <w:rPr>
          <w:rFonts w:ascii="仿宋_GB2312" w:eastAsia="仿宋_GB2312" w:hAnsi="仿宋_GB2312" w:cs="仿宋_GB2312" w:hint="eastAsia"/>
          <w:sz w:val="32"/>
          <w:szCs w:val="32"/>
        </w:rPr>
        <w:t>事项。</w:t>
      </w:r>
    </w:p>
    <w:p w:rsidR="00265915" w:rsidRDefault="00D23F2A">
      <w:pPr>
        <w:ind w:firstLineChars="200" w:firstLine="640"/>
        <w:rPr>
          <w:rFonts w:ascii="黑体" w:eastAsia="黑体" w:hAnsi="黑体" w:cs="黑体"/>
          <w:sz w:val="32"/>
          <w:szCs w:val="32"/>
        </w:rPr>
      </w:pPr>
      <w:r>
        <w:rPr>
          <w:rFonts w:ascii="黑体" w:eastAsia="黑体" w:hAnsi="黑体" w:cs="黑体" w:hint="eastAsia"/>
          <w:sz w:val="32"/>
          <w:szCs w:val="32"/>
        </w:rPr>
        <w:t>二、一般公共预算支出情况</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2021年度一般公共预算财政拨款年初结转和结余3,591.72万元，本年收入44,328.30万元，本年支出44,478.94万元（包含基本支出26,126.06万元、项目支出18,352.88万元），年末结转和结余3,441.08万元。</w:t>
      </w:r>
    </w:p>
    <w:p w:rsidR="00265915" w:rsidRDefault="00D23F2A">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（一）基本支出</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2021年度一般公共预算拨款基本支出预算27.027.02万元，决算数26,126.06万元，结余900.96万元，预算执行率96.67%。具体如下表：</w:t>
      </w:r>
    </w:p>
    <w:p w:rsidR="00265915" w:rsidRDefault="00D23F2A">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单位：万元</w:t>
      </w:r>
    </w:p>
    <w:tbl>
      <w:tblPr>
        <w:tblW w:w="8480" w:type="dxa"/>
        <w:jc w:val="center"/>
        <w:tblBorders>
          <w:top w:val="single" w:sz="12" w:space="0" w:color="000000"/>
          <w:bottom w:val="single" w:sz="12" w:space="0" w:color="000000"/>
          <w:insideH w:val="dotted" w:sz="4" w:space="0" w:color="000000"/>
          <w:insideV w:val="dotted" w:sz="4" w:space="0" w:color="000000"/>
        </w:tblBorders>
        <w:tblLayout w:type="fixed"/>
        <w:tblLook w:val="04A0" w:firstRow="1" w:lastRow="0" w:firstColumn="1" w:lastColumn="0" w:noHBand="0" w:noVBand="1"/>
      </w:tblPr>
      <w:tblGrid>
        <w:gridCol w:w="3010"/>
        <w:gridCol w:w="1417"/>
        <w:gridCol w:w="1655"/>
        <w:gridCol w:w="1267"/>
        <w:gridCol w:w="1131"/>
      </w:tblGrid>
      <w:tr w:rsidR="00265915">
        <w:trPr>
          <w:trHeight w:val="397"/>
          <w:tblHeader/>
          <w:jc w:val="center"/>
        </w:trPr>
        <w:tc>
          <w:tcPr>
            <w:tcW w:w="3010"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   目</w:t>
            </w:r>
          </w:p>
        </w:tc>
        <w:tc>
          <w:tcPr>
            <w:tcW w:w="1417"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预算数</w:t>
            </w:r>
          </w:p>
        </w:tc>
        <w:tc>
          <w:tcPr>
            <w:tcW w:w="1655"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决算数</w:t>
            </w:r>
          </w:p>
        </w:tc>
        <w:tc>
          <w:tcPr>
            <w:tcW w:w="1267"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结余数</w:t>
            </w:r>
          </w:p>
        </w:tc>
        <w:tc>
          <w:tcPr>
            <w:tcW w:w="1131"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执行率</w:t>
            </w:r>
          </w:p>
        </w:tc>
      </w:tr>
      <w:tr w:rsidR="00265915">
        <w:trPr>
          <w:trHeight w:val="397"/>
          <w:jc w:val="center"/>
        </w:trPr>
        <w:tc>
          <w:tcPr>
            <w:tcW w:w="3010" w:type="dxa"/>
            <w:shd w:val="clear" w:color="auto" w:fill="auto"/>
            <w:vAlign w:val="center"/>
          </w:tcPr>
          <w:p w:rsidR="00265915" w:rsidRDefault="00D23F2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基本支出</w:t>
            </w:r>
          </w:p>
        </w:tc>
        <w:tc>
          <w:tcPr>
            <w:tcW w:w="1417"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rPr>
              <w:t>27,027.02</w:t>
            </w:r>
          </w:p>
        </w:tc>
        <w:tc>
          <w:tcPr>
            <w:tcW w:w="1655"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rPr>
              <w:t>26,126.06</w:t>
            </w:r>
          </w:p>
        </w:tc>
        <w:tc>
          <w:tcPr>
            <w:tcW w:w="1267"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rPr>
              <w:t>900.96</w:t>
            </w:r>
          </w:p>
        </w:tc>
        <w:tc>
          <w:tcPr>
            <w:tcW w:w="1131"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rPr>
              <w:t>96.67</w:t>
            </w:r>
          </w:p>
        </w:tc>
      </w:tr>
      <w:tr w:rsidR="00265915">
        <w:trPr>
          <w:trHeight w:val="397"/>
          <w:jc w:val="center"/>
        </w:trPr>
        <w:tc>
          <w:tcPr>
            <w:tcW w:w="3010" w:type="dxa"/>
            <w:shd w:val="clear" w:color="auto" w:fill="auto"/>
            <w:vAlign w:val="center"/>
          </w:tcPr>
          <w:p w:rsidR="00265915" w:rsidRDefault="00D23F2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其中: 人员经费</w:t>
            </w:r>
          </w:p>
        </w:tc>
        <w:tc>
          <w:tcPr>
            <w:tcW w:w="1417"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rPr>
              <w:t>23,996.79</w:t>
            </w:r>
          </w:p>
        </w:tc>
        <w:tc>
          <w:tcPr>
            <w:tcW w:w="1655"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rPr>
              <w:t>23,196.08</w:t>
            </w:r>
          </w:p>
        </w:tc>
        <w:tc>
          <w:tcPr>
            <w:tcW w:w="1267"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rPr>
              <w:t>800.71</w:t>
            </w:r>
          </w:p>
        </w:tc>
        <w:tc>
          <w:tcPr>
            <w:tcW w:w="1131"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rPr>
              <w:t>96.66</w:t>
            </w:r>
          </w:p>
        </w:tc>
      </w:tr>
      <w:tr w:rsidR="00265915">
        <w:trPr>
          <w:trHeight w:val="397"/>
          <w:jc w:val="center"/>
        </w:trPr>
        <w:tc>
          <w:tcPr>
            <w:tcW w:w="3010" w:type="dxa"/>
            <w:shd w:val="clear" w:color="auto" w:fill="auto"/>
            <w:vAlign w:val="center"/>
          </w:tcPr>
          <w:p w:rsidR="00265915" w:rsidRDefault="00D23F2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日常公用经费</w:t>
            </w:r>
          </w:p>
        </w:tc>
        <w:tc>
          <w:tcPr>
            <w:tcW w:w="1417"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rPr>
              <w:t>3,030.23</w:t>
            </w:r>
          </w:p>
        </w:tc>
        <w:tc>
          <w:tcPr>
            <w:tcW w:w="1655"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rPr>
              <w:t>2,929.98</w:t>
            </w:r>
          </w:p>
        </w:tc>
        <w:tc>
          <w:tcPr>
            <w:tcW w:w="1267"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rPr>
              <w:t>100.25</w:t>
            </w:r>
          </w:p>
        </w:tc>
        <w:tc>
          <w:tcPr>
            <w:tcW w:w="1131"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rPr>
              <w:t>96.69</w:t>
            </w:r>
          </w:p>
        </w:tc>
      </w:tr>
    </w:tbl>
    <w:p w:rsidR="00265915" w:rsidRDefault="00D23F2A">
      <w:pPr>
        <w:ind w:firstLineChars="200" w:firstLine="640"/>
        <w:outlineLvl w:val="1"/>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（二）项目支出</w:t>
      </w:r>
    </w:p>
    <w:p w:rsidR="00265915" w:rsidRDefault="00D23F2A">
      <w:pPr>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2021年度一般公共预算拨款项目支出预算20,893.01万元，决算数18,352.88万元，结余2,540.12万元，执行率87.84%。具体如下表：</w:t>
      </w:r>
    </w:p>
    <w:p w:rsidR="00265915" w:rsidRDefault="00D23F2A">
      <w:pPr>
        <w:ind w:firstLineChars="200" w:firstLine="640"/>
        <w:jc w:val="righ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单位：万元</w:t>
      </w:r>
    </w:p>
    <w:tbl>
      <w:tblPr>
        <w:tblW w:w="8619" w:type="dxa"/>
        <w:jc w:val="center"/>
        <w:tblInd w:w="-5"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369"/>
        <w:gridCol w:w="1360"/>
        <w:gridCol w:w="1360"/>
        <w:gridCol w:w="1360"/>
        <w:gridCol w:w="1170"/>
      </w:tblGrid>
      <w:tr w:rsidR="00265915">
        <w:trPr>
          <w:trHeight w:val="397"/>
          <w:tblHeader/>
          <w:jc w:val="center"/>
        </w:trPr>
        <w:tc>
          <w:tcPr>
            <w:tcW w:w="3369"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项   目</w:t>
            </w:r>
          </w:p>
        </w:tc>
        <w:tc>
          <w:tcPr>
            <w:tcW w:w="1360"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预算数</w:t>
            </w:r>
          </w:p>
        </w:tc>
        <w:tc>
          <w:tcPr>
            <w:tcW w:w="1360"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决算数</w:t>
            </w:r>
          </w:p>
        </w:tc>
        <w:tc>
          <w:tcPr>
            <w:tcW w:w="1360"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结余数</w:t>
            </w:r>
          </w:p>
        </w:tc>
        <w:tc>
          <w:tcPr>
            <w:tcW w:w="1170"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执行率</w:t>
            </w:r>
          </w:p>
        </w:tc>
      </w:tr>
      <w:tr w:rsidR="00265915">
        <w:trPr>
          <w:trHeight w:val="397"/>
          <w:jc w:val="center"/>
        </w:trPr>
        <w:tc>
          <w:tcPr>
            <w:tcW w:w="3369" w:type="dxa"/>
            <w:shd w:val="clear" w:color="auto" w:fill="auto"/>
            <w:vAlign w:val="center"/>
          </w:tcPr>
          <w:p w:rsidR="00265915" w:rsidRDefault="00D23F2A">
            <w:pPr>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项目支出合计</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20,893.01</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18,352.88</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2,540.12</w:t>
            </w:r>
          </w:p>
        </w:tc>
        <w:tc>
          <w:tcPr>
            <w:tcW w:w="117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87.84</w:t>
            </w:r>
          </w:p>
        </w:tc>
      </w:tr>
      <w:tr w:rsidR="00265915">
        <w:trPr>
          <w:trHeight w:val="397"/>
          <w:jc w:val="center"/>
        </w:trPr>
        <w:tc>
          <w:tcPr>
            <w:tcW w:w="3369" w:type="dxa"/>
            <w:shd w:val="clear" w:color="auto" w:fill="auto"/>
            <w:vAlign w:val="center"/>
          </w:tcPr>
          <w:p w:rsidR="00265915" w:rsidRDefault="00D23F2A">
            <w:pPr>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其中：运行维护经费</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1,149.73</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971.46</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178.27</w:t>
            </w:r>
          </w:p>
        </w:tc>
        <w:tc>
          <w:tcPr>
            <w:tcW w:w="117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84.49</w:t>
            </w:r>
          </w:p>
        </w:tc>
      </w:tr>
      <w:tr w:rsidR="00265915">
        <w:trPr>
          <w:trHeight w:val="397"/>
          <w:jc w:val="center"/>
        </w:trPr>
        <w:tc>
          <w:tcPr>
            <w:tcW w:w="3369" w:type="dxa"/>
            <w:shd w:val="clear" w:color="auto" w:fill="auto"/>
            <w:vAlign w:val="center"/>
          </w:tcPr>
          <w:p w:rsidR="00265915" w:rsidRDefault="00D23F2A">
            <w:pPr>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业务工作经费</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12,352.68</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11,440.41</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912.27</w:t>
            </w:r>
          </w:p>
        </w:tc>
        <w:tc>
          <w:tcPr>
            <w:tcW w:w="117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92.61</w:t>
            </w:r>
          </w:p>
        </w:tc>
      </w:tr>
      <w:tr w:rsidR="00265915">
        <w:trPr>
          <w:trHeight w:val="397"/>
          <w:jc w:val="center"/>
        </w:trPr>
        <w:tc>
          <w:tcPr>
            <w:tcW w:w="3369" w:type="dxa"/>
            <w:shd w:val="clear" w:color="auto" w:fill="auto"/>
            <w:vAlign w:val="center"/>
          </w:tcPr>
          <w:p w:rsidR="00265915" w:rsidRDefault="00D23F2A">
            <w:pPr>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其他事业类发展资金</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6,436.34</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5,272.98</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1,163.36</w:t>
            </w:r>
          </w:p>
        </w:tc>
        <w:tc>
          <w:tcPr>
            <w:tcW w:w="117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81.93</w:t>
            </w:r>
          </w:p>
        </w:tc>
      </w:tr>
      <w:tr w:rsidR="00265915">
        <w:trPr>
          <w:trHeight w:val="397"/>
          <w:jc w:val="center"/>
        </w:trPr>
        <w:tc>
          <w:tcPr>
            <w:tcW w:w="3369" w:type="dxa"/>
            <w:shd w:val="clear" w:color="auto" w:fill="auto"/>
            <w:vAlign w:val="center"/>
          </w:tcPr>
          <w:p w:rsidR="00265915" w:rsidRDefault="00D23F2A">
            <w:pPr>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省级专项资金</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954.26</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668.04</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286.22</w:t>
            </w:r>
          </w:p>
        </w:tc>
        <w:tc>
          <w:tcPr>
            <w:tcW w:w="117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70.01</w:t>
            </w:r>
          </w:p>
        </w:tc>
      </w:tr>
      <w:tr w:rsidR="00265915">
        <w:trPr>
          <w:trHeight w:val="397"/>
          <w:jc w:val="center"/>
        </w:trPr>
        <w:tc>
          <w:tcPr>
            <w:tcW w:w="3369" w:type="dxa"/>
            <w:shd w:val="clear" w:color="auto" w:fill="auto"/>
            <w:vAlign w:val="center"/>
          </w:tcPr>
          <w:p w:rsidR="00265915" w:rsidRDefault="00D23F2A">
            <w:pPr>
              <w:spacing w:line="40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其中：高校“双一流”建设专项资金</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660.67</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376.19</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284.48</w:t>
            </w:r>
          </w:p>
        </w:tc>
        <w:tc>
          <w:tcPr>
            <w:tcW w:w="117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56.94</w:t>
            </w:r>
          </w:p>
        </w:tc>
      </w:tr>
      <w:tr w:rsidR="00265915">
        <w:trPr>
          <w:trHeight w:val="397"/>
          <w:jc w:val="center"/>
        </w:trPr>
        <w:tc>
          <w:tcPr>
            <w:tcW w:w="3369" w:type="dxa"/>
            <w:shd w:val="clear" w:color="auto" w:fill="auto"/>
            <w:vAlign w:val="center"/>
          </w:tcPr>
          <w:p w:rsidR="00265915" w:rsidRDefault="00D23F2A">
            <w:pPr>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教育综合发展专项</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75.89</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74.15</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1.74</w:t>
            </w:r>
          </w:p>
        </w:tc>
        <w:tc>
          <w:tcPr>
            <w:tcW w:w="117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97.71</w:t>
            </w:r>
          </w:p>
        </w:tc>
      </w:tr>
      <w:tr w:rsidR="00265915">
        <w:trPr>
          <w:trHeight w:val="397"/>
          <w:jc w:val="center"/>
        </w:trPr>
        <w:tc>
          <w:tcPr>
            <w:tcW w:w="3369" w:type="dxa"/>
            <w:shd w:val="clear" w:color="auto" w:fill="auto"/>
            <w:vAlign w:val="center"/>
          </w:tcPr>
          <w:p w:rsidR="00265915" w:rsidRDefault="00D23F2A">
            <w:pPr>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就业补助专项（省级）</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7.70</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7.70</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0.00</w:t>
            </w:r>
          </w:p>
        </w:tc>
        <w:tc>
          <w:tcPr>
            <w:tcW w:w="117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100</w:t>
            </w:r>
          </w:p>
        </w:tc>
      </w:tr>
      <w:tr w:rsidR="00265915">
        <w:trPr>
          <w:trHeight w:val="397"/>
          <w:jc w:val="center"/>
        </w:trPr>
        <w:tc>
          <w:tcPr>
            <w:tcW w:w="3369" w:type="dxa"/>
            <w:shd w:val="clear" w:color="auto" w:fill="auto"/>
            <w:vAlign w:val="center"/>
          </w:tcPr>
          <w:p w:rsidR="00265915" w:rsidRDefault="00D23F2A">
            <w:pPr>
              <w:spacing w:line="400" w:lineRule="exact"/>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省预算内基本建设专项--省级支出</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210.00</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210.00</w:t>
            </w:r>
          </w:p>
        </w:tc>
        <w:tc>
          <w:tcPr>
            <w:tcW w:w="136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0.00</w:t>
            </w:r>
          </w:p>
        </w:tc>
        <w:tc>
          <w:tcPr>
            <w:tcW w:w="1170" w:type="dxa"/>
            <w:shd w:val="clear" w:color="auto" w:fill="auto"/>
            <w:vAlign w:val="center"/>
          </w:tcPr>
          <w:p w:rsidR="00265915" w:rsidRDefault="00D23F2A">
            <w:pPr>
              <w:jc w:val="righ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100</w:t>
            </w:r>
          </w:p>
        </w:tc>
      </w:tr>
    </w:tbl>
    <w:p w:rsidR="00265915" w:rsidRDefault="00D23F2A">
      <w:pPr>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运行维护专项预算数1,149.73万元，决算数971.46万元，结余178.27万元，执行率84.49%，结余资金主要为：湖南省体育局本级大院物业管理结余115.82万元、湖南贺龙体育馆办公设备购置结余22.00万元。</w:t>
      </w:r>
    </w:p>
    <w:p w:rsidR="00265915" w:rsidRDefault="00D23F2A">
      <w:pPr>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业务工作经费预算数12,352.68万元，决算数11,440.41万元，结余912.27万元，执行率92.61%，结余资金主要为：湖南省体育局本级绩效评价、纪检审计专项、保密、党建、数字化档案及法律顾问服务结余252.74万元，全民健身场地器材补短板工程118.12万元，群体赛事活动结余104.28万元；湖南贺龙体育馆室外网管改造工程结余100.00万元。</w:t>
      </w:r>
    </w:p>
    <w:p w:rsidR="00265915" w:rsidRDefault="00D23F2A">
      <w:pPr>
        <w:pStyle w:val="1"/>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其他事业类发展资金预算数6,436.34万元，决算数5,272.98万元，结余1,163.36万元，执行率81.93%，结余资金主要为：湖南省体育局本级2021年中央支持地方公共文化服务体系建设绩效奖励结余300.00万元，青少年和群体赛事活动结余165.86万元；湖南体育职业学院学生资助补助经费和高职生均拨款资金结余258.93万元，2021年度高校“十四五”基建专项资金结余200.00万元；湖南省网球足球运动管理中心足球场配套功能设施建设经费结余80.00万元；湖南郴州体育训练基地2021年中央支持地方公共文化服务体系建设绩效奖励结余72.37万元。</w:t>
      </w:r>
    </w:p>
    <w:p w:rsidR="00265915" w:rsidRDefault="00D23F2A">
      <w:pPr>
        <w:pStyle w:val="1"/>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省级专项资金预算数954.26万元，决算数668.04万元，结余286.22万元，执行率70.00%，结余主要资金为湖南体育职业学院高校“双一流”建设专项284.48万元。</w:t>
      </w:r>
    </w:p>
    <w:p w:rsidR="00265915" w:rsidRDefault="00D23F2A">
      <w:pPr>
        <w:ind w:firstLineChars="200" w:firstLine="640"/>
        <w:outlineLvl w:val="1"/>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（三）“三公经费”支出使用情况</w:t>
      </w:r>
    </w:p>
    <w:p w:rsidR="00265915" w:rsidRDefault="00D23F2A">
      <w:pPr>
        <w:pStyle w:val="1"/>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2021年度“三公经费”预算数140.49万元，决算数98.18万元，“三公经费”控制率69.88%，与2020年度相比，同比下降1.24%。具体如下表：</w:t>
      </w:r>
    </w:p>
    <w:p w:rsidR="00265915" w:rsidRDefault="00D23F2A">
      <w:pPr>
        <w:pStyle w:val="1"/>
        <w:ind w:firstLine="640"/>
        <w:jc w:val="right"/>
        <w:rPr>
          <w:rFonts w:ascii="Arial Narrow" w:eastAsia="仿宋_GB2312" w:hAnsi="Arial Narrow" w:cs="仿宋_GB2312"/>
          <w:snapToGrid w:val="0"/>
          <w:kern w:val="0"/>
          <w:sz w:val="28"/>
          <w:szCs w:val="28"/>
        </w:rPr>
      </w:pPr>
      <w:r>
        <w:rPr>
          <w:rFonts w:ascii="仿宋_GB2312" w:eastAsia="仿宋_GB2312" w:hAnsi="仿宋_GB2312" w:cs="仿宋_GB2312" w:hint="eastAsia"/>
          <w:snapToGrid w:val="0"/>
          <w:kern w:val="0"/>
          <w:sz w:val="32"/>
          <w:szCs w:val="32"/>
        </w:rPr>
        <w:t>单位：万元</w:t>
      </w:r>
    </w:p>
    <w:tbl>
      <w:tblPr>
        <w:tblW w:w="8475"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693"/>
        <w:gridCol w:w="1136"/>
        <w:gridCol w:w="1107"/>
        <w:gridCol w:w="1132"/>
        <w:gridCol w:w="1132"/>
        <w:gridCol w:w="1275"/>
      </w:tblGrid>
      <w:tr w:rsidR="00265915">
        <w:trPr>
          <w:trHeight w:val="397"/>
        </w:trPr>
        <w:tc>
          <w:tcPr>
            <w:tcW w:w="2693"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 目</w:t>
            </w:r>
          </w:p>
        </w:tc>
        <w:tc>
          <w:tcPr>
            <w:tcW w:w="1136" w:type="dxa"/>
            <w:shd w:val="clear" w:color="auto" w:fill="auto"/>
            <w:vAlign w:val="center"/>
          </w:tcPr>
          <w:p w:rsidR="00265915" w:rsidRDefault="00D23F2A">
            <w:pPr>
              <w:spacing w:line="40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2021年预算数</w:t>
            </w:r>
          </w:p>
        </w:tc>
        <w:tc>
          <w:tcPr>
            <w:tcW w:w="1107" w:type="dxa"/>
            <w:shd w:val="clear" w:color="auto" w:fill="auto"/>
            <w:vAlign w:val="center"/>
          </w:tcPr>
          <w:p w:rsidR="00265915" w:rsidRDefault="00D23F2A">
            <w:pPr>
              <w:spacing w:line="40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2021年决算数</w:t>
            </w:r>
          </w:p>
        </w:tc>
        <w:tc>
          <w:tcPr>
            <w:tcW w:w="1132" w:type="dxa"/>
            <w:shd w:val="clear" w:color="auto" w:fill="auto"/>
            <w:vAlign w:val="center"/>
          </w:tcPr>
          <w:p w:rsidR="00265915" w:rsidRDefault="00D23F2A">
            <w:pPr>
              <w:spacing w:line="40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2020年决算数</w:t>
            </w:r>
          </w:p>
        </w:tc>
        <w:tc>
          <w:tcPr>
            <w:tcW w:w="1132" w:type="dxa"/>
            <w:shd w:val="clear" w:color="auto" w:fill="auto"/>
            <w:vAlign w:val="center"/>
          </w:tcPr>
          <w:p w:rsidR="00265915" w:rsidRDefault="00D23F2A">
            <w:pPr>
              <w:spacing w:line="40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2021年控制率</w:t>
            </w:r>
          </w:p>
        </w:tc>
        <w:tc>
          <w:tcPr>
            <w:tcW w:w="1275" w:type="dxa"/>
            <w:shd w:val="clear" w:color="auto" w:fill="auto"/>
            <w:vAlign w:val="center"/>
          </w:tcPr>
          <w:p w:rsidR="00265915" w:rsidRDefault="00D23F2A">
            <w:pPr>
              <w:spacing w:line="40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2021年同比增减率</w:t>
            </w:r>
          </w:p>
        </w:tc>
      </w:tr>
      <w:tr w:rsidR="00265915">
        <w:trPr>
          <w:trHeight w:val="397"/>
        </w:trPr>
        <w:tc>
          <w:tcPr>
            <w:tcW w:w="2693" w:type="dxa"/>
            <w:shd w:val="clear" w:color="auto" w:fill="auto"/>
            <w:vAlign w:val="center"/>
          </w:tcPr>
          <w:p w:rsidR="00265915" w:rsidRDefault="00D23F2A">
            <w:pP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合计</w:t>
            </w:r>
          </w:p>
        </w:tc>
        <w:tc>
          <w:tcPr>
            <w:tcW w:w="1136" w:type="dxa"/>
            <w:shd w:val="clear" w:color="auto" w:fill="auto"/>
            <w:vAlign w:val="center"/>
          </w:tcPr>
          <w:p w:rsidR="00265915" w:rsidRDefault="00D23F2A">
            <w:pPr>
              <w:jc w:val="righ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sz w:val="24"/>
                <w:szCs w:val="24"/>
              </w:rPr>
              <w:t xml:space="preserve">140.49 </w:t>
            </w:r>
          </w:p>
        </w:tc>
        <w:tc>
          <w:tcPr>
            <w:tcW w:w="1107" w:type="dxa"/>
            <w:shd w:val="clear" w:color="auto" w:fill="auto"/>
            <w:vAlign w:val="center"/>
          </w:tcPr>
          <w:p w:rsidR="00265915" w:rsidRDefault="00D23F2A">
            <w:pPr>
              <w:jc w:val="righ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 xml:space="preserve">98.18 </w:t>
            </w:r>
          </w:p>
        </w:tc>
        <w:tc>
          <w:tcPr>
            <w:tcW w:w="1132" w:type="dxa"/>
            <w:shd w:val="clear" w:color="auto" w:fill="auto"/>
            <w:vAlign w:val="center"/>
          </w:tcPr>
          <w:p w:rsidR="00265915" w:rsidRDefault="00D23F2A">
            <w:pPr>
              <w:jc w:val="righ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 xml:space="preserve">99.41 </w:t>
            </w:r>
          </w:p>
        </w:tc>
        <w:tc>
          <w:tcPr>
            <w:tcW w:w="1132" w:type="dxa"/>
            <w:shd w:val="clear" w:color="auto" w:fill="auto"/>
            <w:vAlign w:val="center"/>
          </w:tcPr>
          <w:p w:rsidR="00265915" w:rsidRDefault="00D23F2A">
            <w:pPr>
              <w:jc w:val="righ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 xml:space="preserve">69.88 </w:t>
            </w:r>
          </w:p>
        </w:tc>
        <w:tc>
          <w:tcPr>
            <w:tcW w:w="1275" w:type="dxa"/>
            <w:shd w:val="clear" w:color="auto" w:fill="auto"/>
            <w:vAlign w:val="center"/>
          </w:tcPr>
          <w:p w:rsidR="00265915" w:rsidRDefault="00D23F2A">
            <w:pPr>
              <w:jc w:val="righ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sz w:val="24"/>
                <w:szCs w:val="24"/>
              </w:rPr>
              <w:t xml:space="preserve">-1.24 </w:t>
            </w:r>
          </w:p>
        </w:tc>
      </w:tr>
      <w:tr w:rsidR="00265915">
        <w:trPr>
          <w:trHeight w:val="397"/>
        </w:trPr>
        <w:tc>
          <w:tcPr>
            <w:tcW w:w="2693" w:type="dxa"/>
            <w:shd w:val="clear" w:color="auto" w:fill="auto"/>
            <w:vAlign w:val="center"/>
          </w:tcPr>
          <w:p w:rsidR="00265915" w:rsidRDefault="00D23F2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因公出国（境）费</w:t>
            </w:r>
          </w:p>
        </w:tc>
        <w:tc>
          <w:tcPr>
            <w:tcW w:w="1136"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10.00 </w:t>
            </w:r>
          </w:p>
        </w:tc>
        <w:tc>
          <w:tcPr>
            <w:tcW w:w="1107"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132"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5.40 </w:t>
            </w:r>
          </w:p>
        </w:tc>
        <w:tc>
          <w:tcPr>
            <w:tcW w:w="1132"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275" w:type="dxa"/>
            <w:shd w:val="clear" w:color="auto" w:fill="auto"/>
            <w:vAlign w:val="center"/>
          </w:tcPr>
          <w:p w:rsidR="00265915" w:rsidRDefault="00D23F2A">
            <w:pPr>
              <w:jc w:val="righ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 xml:space="preserve">-100.00 </w:t>
            </w:r>
          </w:p>
        </w:tc>
      </w:tr>
      <w:tr w:rsidR="00265915">
        <w:trPr>
          <w:trHeight w:val="397"/>
        </w:trPr>
        <w:tc>
          <w:tcPr>
            <w:tcW w:w="2693" w:type="dxa"/>
            <w:shd w:val="clear" w:color="auto" w:fill="auto"/>
            <w:vAlign w:val="center"/>
          </w:tcPr>
          <w:p w:rsidR="00265915" w:rsidRDefault="00D23F2A">
            <w:pPr>
              <w:spacing w:line="40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公务用车购置及运行维护费</w:t>
            </w:r>
          </w:p>
        </w:tc>
        <w:tc>
          <w:tcPr>
            <w:tcW w:w="1136"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105.99 </w:t>
            </w:r>
          </w:p>
        </w:tc>
        <w:tc>
          <w:tcPr>
            <w:tcW w:w="1107"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92.35 </w:t>
            </w:r>
          </w:p>
        </w:tc>
        <w:tc>
          <w:tcPr>
            <w:tcW w:w="1132"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78.69 </w:t>
            </w:r>
          </w:p>
        </w:tc>
        <w:tc>
          <w:tcPr>
            <w:tcW w:w="1132"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87.13 </w:t>
            </w:r>
          </w:p>
        </w:tc>
        <w:tc>
          <w:tcPr>
            <w:tcW w:w="1275" w:type="dxa"/>
            <w:shd w:val="clear" w:color="auto" w:fill="auto"/>
            <w:vAlign w:val="center"/>
          </w:tcPr>
          <w:p w:rsidR="00265915" w:rsidRDefault="00D23F2A">
            <w:pPr>
              <w:jc w:val="righ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 xml:space="preserve">17.36 </w:t>
            </w:r>
          </w:p>
        </w:tc>
      </w:tr>
      <w:tr w:rsidR="00265915">
        <w:trPr>
          <w:trHeight w:val="397"/>
        </w:trPr>
        <w:tc>
          <w:tcPr>
            <w:tcW w:w="2693" w:type="dxa"/>
            <w:shd w:val="clear" w:color="auto" w:fill="auto"/>
            <w:vAlign w:val="center"/>
          </w:tcPr>
          <w:p w:rsidR="00265915" w:rsidRDefault="00D23F2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其中：公务用车购置费</w:t>
            </w:r>
          </w:p>
        </w:tc>
        <w:tc>
          <w:tcPr>
            <w:tcW w:w="1136"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18.00 </w:t>
            </w:r>
          </w:p>
        </w:tc>
        <w:tc>
          <w:tcPr>
            <w:tcW w:w="1107"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18.00 </w:t>
            </w:r>
          </w:p>
        </w:tc>
        <w:tc>
          <w:tcPr>
            <w:tcW w:w="1132"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tc>
        <w:tc>
          <w:tcPr>
            <w:tcW w:w="1132"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100.00 </w:t>
            </w:r>
          </w:p>
        </w:tc>
        <w:tc>
          <w:tcPr>
            <w:tcW w:w="1275" w:type="dxa"/>
            <w:shd w:val="clear" w:color="auto" w:fill="auto"/>
            <w:vAlign w:val="center"/>
          </w:tcPr>
          <w:p w:rsidR="00265915" w:rsidRDefault="00265915">
            <w:pPr>
              <w:jc w:val="right"/>
              <w:rPr>
                <w:rFonts w:ascii="仿宋_GB2312" w:eastAsia="仿宋_GB2312" w:hAnsi="仿宋_GB2312" w:cs="仿宋_GB2312"/>
                <w:b/>
                <w:bCs/>
                <w:color w:val="000000"/>
                <w:sz w:val="24"/>
                <w:szCs w:val="24"/>
              </w:rPr>
            </w:pPr>
          </w:p>
        </w:tc>
      </w:tr>
      <w:tr w:rsidR="00265915">
        <w:trPr>
          <w:trHeight w:val="397"/>
        </w:trPr>
        <w:tc>
          <w:tcPr>
            <w:tcW w:w="2693" w:type="dxa"/>
            <w:shd w:val="clear" w:color="auto" w:fill="auto"/>
            <w:vAlign w:val="center"/>
          </w:tcPr>
          <w:p w:rsidR="00265915" w:rsidRDefault="00D23F2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公务用车运行维护费</w:t>
            </w:r>
          </w:p>
        </w:tc>
        <w:tc>
          <w:tcPr>
            <w:tcW w:w="1136"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87.99 </w:t>
            </w:r>
          </w:p>
        </w:tc>
        <w:tc>
          <w:tcPr>
            <w:tcW w:w="1107"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74.35 </w:t>
            </w:r>
          </w:p>
        </w:tc>
        <w:tc>
          <w:tcPr>
            <w:tcW w:w="1132"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78.69 </w:t>
            </w:r>
          </w:p>
        </w:tc>
        <w:tc>
          <w:tcPr>
            <w:tcW w:w="1132"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84.50 </w:t>
            </w:r>
          </w:p>
        </w:tc>
        <w:tc>
          <w:tcPr>
            <w:tcW w:w="1275" w:type="dxa"/>
            <w:shd w:val="clear" w:color="auto" w:fill="auto"/>
            <w:vAlign w:val="center"/>
          </w:tcPr>
          <w:p w:rsidR="00265915" w:rsidRDefault="00D23F2A">
            <w:pPr>
              <w:jc w:val="righ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 xml:space="preserve">-5.52 </w:t>
            </w:r>
          </w:p>
        </w:tc>
      </w:tr>
      <w:tr w:rsidR="00265915">
        <w:trPr>
          <w:trHeight w:val="397"/>
        </w:trPr>
        <w:tc>
          <w:tcPr>
            <w:tcW w:w="2693" w:type="dxa"/>
            <w:shd w:val="clear" w:color="auto" w:fill="auto"/>
            <w:vAlign w:val="center"/>
          </w:tcPr>
          <w:p w:rsidR="00265915" w:rsidRDefault="00D23F2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公务接待费</w:t>
            </w:r>
          </w:p>
        </w:tc>
        <w:tc>
          <w:tcPr>
            <w:tcW w:w="1136"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24.50 </w:t>
            </w:r>
          </w:p>
        </w:tc>
        <w:tc>
          <w:tcPr>
            <w:tcW w:w="1107"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5.83 </w:t>
            </w:r>
          </w:p>
        </w:tc>
        <w:tc>
          <w:tcPr>
            <w:tcW w:w="1132"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15.32 </w:t>
            </w:r>
          </w:p>
        </w:tc>
        <w:tc>
          <w:tcPr>
            <w:tcW w:w="1132"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23.80 </w:t>
            </w:r>
          </w:p>
        </w:tc>
        <w:tc>
          <w:tcPr>
            <w:tcW w:w="1275" w:type="dxa"/>
            <w:shd w:val="clear" w:color="auto" w:fill="auto"/>
            <w:vAlign w:val="center"/>
          </w:tcPr>
          <w:p w:rsidR="00265915" w:rsidRDefault="00D23F2A">
            <w:pPr>
              <w:jc w:val="righ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 xml:space="preserve">-61.95 </w:t>
            </w:r>
          </w:p>
        </w:tc>
      </w:tr>
    </w:tbl>
    <w:p w:rsidR="00265915" w:rsidRDefault="00D23F2A">
      <w:pPr>
        <w:ind w:firstLineChars="200" w:firstLine="640"/>
        <w:outlineLvl w:val="1"/>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（四）“会议费”经费支出使用情况</w:t>
      </w:r>
    </w:p>
    <w:p w:rsidR="00265915" w:rsidRDefault="00D23F2A">
      <w:pPr>
        <w:ind w:firstLineChars="200" w:firstLine="640"/>
        <w:outlineLvl w:val="1"/>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2020年以来受疫情影响，会议费有所减少，2021年为奥运会、全运会年，业务工作会议有所增加，一般公共预算财政拨款会议费支出12.7万元，人均会议费支出0.008万元。与上年实际支出9.68万元相比，增加3.02万元；人均会议费支出减少0.002万元。具体如下表：</w:t>
      </w:r>
    </w:p>
    <w:p w:rsidR="00265915" w:rsidRDefault="00D23F2A">
      <w:pPr>
        <w:pStyle w:val="a4"/>
        <w:snapToGrid w:val="0"/>
        <w:spacing w:line="240" w:lineRule="auto"/>
        <w:jc w:val="right"/>
        <w:rPr>
          <w:rFonts w:hAnsi="仿宋_GB2312" w:cs="仿宋_GB2312"/>
          <w:color w:val="auto"/>
          <w:szCs w:val="32"/>
        </w:rPr>
      </w:pPr>
      <w:r>
        <w:rPr>
          <w:rFonts w:hAnsi="仿宋_GB2312" w:cs="仿宋_GB2312" w:hint="eastAsia"/>
          <w:color w:val="auto"/>
          <w:szCs w:val="32"/>
        </w:rPr>
        <w:t>单位：万元</w:t>
      </w:r>
    </w:p>
    <w:tbl>
      <w:tblPr>
        <w:tblW w:w="8663" w:type="dxa"/>
        <w:jc w:val="center"/>
        <w:tblBorders>
          <w:top w:val="single" w:sz="12" w:space="0" w:color="000000"/>
          <w:bottom w:val="single" w:sz="12" w:space="0" w:color="000000"/>
          <w:insideH w:val="dotted" w:sz="4" w:space="0" w:color="000000"/>
          <w:insideV w:val="dotted" w:sz="4"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2761"/>
        <w:gridCol w:w="1611"/>
        <w:gridCol w:w="1797"/>
        <w:gridCol w:w="1276"/>
        <w:gridCol w:w="1218"/>
      </w:tblGrid>
      <w:tr w:rsidR="00265915">
        <w:trPr>
          <w:trHeight w:val="397"/>
          <w:jc w:val="center"/>
        </w:trPr>
        <w:tc>
          <w:tcPr>
            <w:tcW w:w="2761" w:type="dxa"/>
            <w:shd w:val="clear" w:color="auto" w:fill="FFFFFF" w:themeFill="background1"/>
            <w:tcMar>
              <w:top w:w="10" w:type="dxa"/>
              <w:left w:w="10" w:type="dxa"/>
              <w:right w:w="10" w:type="dxa"/>
            </w:tcMar>
            <w:vAlign w:val="center"/>
          </w:tcPr>
          <w:p w:rsidR="00265915" w:rsidRDefault="00D23F2A">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项目</w:t>
            </w:r>
          </w:p>
        </w:tc>
        <w:tc>
          <w:tcPr>
            <w:tcW w:w="1611" w:type="dxa"/>
            <w:shd w:val="clear" w:color="auto" w:fill="FFFFFF" w:themeFill="background1"/>
            <w:tcMar>
              <w:top w:w="10" w:type="dxa"/>
              <w:left w:w="10" w:type="dxa"/>
              <w:right w:w="10" w:type="dxa"/>
            </w:tcMar>
            <w:vAlign w:val="center"/>
          </w:tcPr>
          <w:p w:rsidR="00265915" w:rsidRDefault="00D23F2A">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2021年决算数</w:t>
            </w:r>
          </w:p>
        </w:tc>
        <w:tc>
          <w:tcPr>
            <w:tcW w:w="1797" w:type="dxa"/>
            <w:shd w:val="clear" w:color="auto" w:fill="FFFFFF" w:themeFill="background1"/>
            <w:tcMar>
              <w:top w:w="10" w:type="dxa"/>
              <w:left w:w="10" w:type="dxa"/>
              <w:right w:w="10" w:type="dxa"/>
            </w:tcMar>
            <w:vAlign w:val="center"/>
          </w:tcPr>
          <w:p w:rsidR="00265915" w:rsidRDefault="00D23F2A">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2020年决算数</w:t>
            </w:r>
          </w:p>
        </w:tc>
        <w:tc>
          <w:tcPr>
            <w:tcW w:w="1276" w:type="dxa"/>
            <w:shd w:val="clear" w:color="auto" w:fill="FFFFFF" w:themeFill="background1"/>
            <w:tcMar>
              <w:top w:w="10" w:type="dxa"/>
              <w:left w:w="10" w:type="dxa"/>
              <w:right w:w="10" w:type="dxa"/>
            </w:tcMar>
            <w:vAlign w:val="center"/>
          </w:tcPr>
          <w:p w:rsidR="00265915" w:rsidRDefault="00D23F2A">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差异额</w:t>
            </w:r>
          </w:p>
        </w:tc>
        <w:tc>
          <w:tcPr>
            <w:tcW w:w="1218" w:type="dxa"/>
            <w:shd w:val="clear" w:color="auto" w:fill="FFFFFF" w:themeFill="background1"/>
            <w:tcMar>
              <w:top w:w="10" w:type="dxa"/>
              <w:left w:w="10" w:type="dxa"/>
              <w:right w:w="10" w:type="dxa"/>
            </w:tcMar>
            <w:vAlign w:val="center"/>
          </w:tcPr>
          <w:p w:rsidR="00265915" w:rsidRDefault="00D23F2A">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差异率%</w:t>
            </w:r>
          </w:p>
        </w:tc>
      </w:tr>
      <w:tr w:rsidR="00265915">
        <w:trPr>
          <w:trHeight w:val="397"/>
          <w:jc w:val="center"/>
        </w:trPr>
        <w:tc>
          <w:tcPr>
            <w:tcW w:w="2761" w:type="dxa"/>
            <w:shd w:val="clear" w:color="auto" w:fill="FFFFFF" w:themeFill="background1"/>
            <w:tcMar>
              <w:top w:w="10" w:type="dxa"/>
              <w:left w:w="10" w:type="dxa"/>
              <w:right w:w="10" w:type="dxa"/>
            </w:tcMar>
            <w:vAlign w:val="center"/>
          </w:tcPr>
          <w:p w:rsidR="00265915" w:rsidRDefault="00D23F2A">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会议费支出</w:t>
            </w:r>
          </w:p>
        </w:tc>
        <w:tc>
          <w:tcPr>
            <w:tcW w:w="1611"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12.70</w:t>
            </w:r>
          </w:p>
        </w:tc>
        <w:tc>
          <w:tcPr>
            <w:tcW w:w="1797"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9.68</w:t>
            </w:r>
          </w:p>
        </w:tc>
        <w:tc>
          <w:tcPr>
            <w:tcW w:w="1276"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3.02</w:t>
            </w:r>
          </w:p>
        </w:tc>
        <w:tc>
          <w:tcPr>
            <w:tcW w:w="1218"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31.20</w:t>
            </w:r>
          </w:p>
        </w:tc>
      </w:tr>
      <w:tr w:rsidR="00265915">
        <w:trPr>
          <w:trHeight w:val="397"/>
          <w:jc w:val="center"/>
        </w:trPr>
        <w:tc>
          <w:tcPr>
            <w:tcW w:w="2761" w:type="dxa"/>
            <w:shd w:val="clear" w:color="auto" w:fill="FFFFFF" w:themeFill="background1"/>
            <w:tcMar>
              <w:top w:w="10" w:type="dxa"/>
              <w:left w:w="10" w:type="dxa"/>
              <w:right w:w="10" w:type="dxa"/>
            </w:tcMar>
            <w:vAlign w:val="center"/>
          </w:tcPr>
          <w:p w:rsidR="00265915" w:rsidRDefault="00D23F2A">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在职人员（人）</w:t>
            </w:r>
          </w:p>
        </w:tc>
        <w:tc>
          <w:tcPr>
            <w:tcW w:w="1611"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1533</w:t>
            </w:r>
          </w:p>
        </w:tc>
        <w:tc>
          <w:tcPr>
            <w:tcW w:w="1797"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1527</w:t>
            </w:r>
          </w:p>
        </w:tc>
        <w:tc>
          <w:tcPr>
            <w:tcW w:w="1276"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1218"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0.39</w:t>
            </w:r>
          </w:p>
        </w:tc>
      </w:tr>
      <w:tr w:rsidR="00265915">
        <w:trPr>
          <w:trHeight w:val="397"/>
          <w:jc w:val="center"/>
        </w:trPr>
        <w:tc>
          <w:tcPr>
            <w:tcW w:w="2761" w:type="dxa"/>
            <w:shd w:val="clear" w:color="auto" w:fill="FFFFFF" w:themeFill="background1"/>
            <w:tcMar>
              <w:top w:w="10" w:type="dxa"/>
              <w:left w:w="10" w:type="dxa"/>
              <w:right w:w="10" w:type="dxa"/>
            </w:tcMar>
            <w:vAlign w:val="center"/>
          </w:tcPr>
          <w:p w:rsidR="00265915" w:rsidRDefault="00D23F2A">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人均支出（万元/人）</w:t>
            </w:r>
          </w:p>
        </w:tc>
        <w:tc>
          <w:tcPr>
            <w:tcW w:w="1611"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0.008</w:t>
            </w:r>
          </w:p>
        </w:tc>
        <w:tc>
          <w:tcPr>
            <w:tcW w:w="1797"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0.006</w:t>
            </w:r>
          </w:p>
        </w:tc>
        <w:tc>
          <w:tcPr>
            <w:tcW w:w="1276"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0.002</w:t>
            </w:r>
          </w:p>
        </w:tc>
        <w:tc>
          <w:tcPr>
            <w:tcW w:w="1218"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30.68</w:t>
            </w:r>
          </w:p>
        </w:tc>
      </w:tr>
    </w:tbl>
    <w:p w:rsidR="00265915" w:rsidRDefault="00D23F2A">
      <w:pPr>
        <w:ind w:firstLineChars="200" w:firstLine="640"/>
        <w:outlineLvl w:val="1"/>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（五）“培训费”经费支出使用情况</w:t>
      </w:r>
    </w:p>
    <w:p w:rsidR="00265915" w:rsidRDefault="00D23F2A" w:rsidP="00D23F2A">
      <w:pPr>
        <w:pStyle w:val="a4"/>
        <w:snapToGrid w:val="0"/>
        <w:rPr>
          <w:rFonts w:hAnsi="仿宋_GB2312" w:cs="仿宋_GB2312"/>
          <w:color w:val="000000" w:themeColor="text1"/>
          <w:szCs w:val="32"/>
        </w:rPr>
      </w:pPr>
      <w:r>
        <w:rPr>
          <w:rFonts w:hAnsi="仿宋_GB2312" w:cs="仿宋_GB2312" w:hint="eastAsia"/>
          <w:color w:val="auto"/>
          <w:szCs w:val="32"/>
        </w:rPr>
        <w:t>2021年一般公共预算财政拨款培训费支出19.23万元，人均支出0.01万元，较上年减少8.59万元，减幅达30.88%，人均支出减少0.01万元</w:t>
      </w:r>
      <w:r>
        <w:rPr>
          <w:rFonts w:hAnsi="仿宋_GB2312" w:cs="仿宋_GB2312" w:hint="eastAsia"/>
          <w:color w:val="000000" w:themeColor="text1"/>
          <w:szCs w:val="32"/>
        </w:rPr>
        <w:t>。</w:t>
      </w:r>
      <w:r>
        <w:rPr>
          <w:rFonts w:hAnsi="仿宋_GB2312" w:cs="仿宋_GB2312" w:hint="eastAsia"/>
          <w:color w:val="000000" w:themeColor="text1"/>
          <w:szCs w:val="32"/>
        </w:rPr>
        <w:lastRenderedPageBreak/>
        <w:t>具体如下表：</w:t>
      </w:r>
    </w:p>
    <w:p w:rsidR="00265915" w:rsidRDefault="00D23F2A" w:rsidP="00D23F2A">
      <w:pPr>
        <w:pStyle w:val="a4"/>
        <w:snapToGrid w:val="0"/>
        <w:jc w:val="right"/>
        <w:rPr>
          <w:rFonts w:hAnsi="仿宋_GB2312" w:cs="仿宋_GB2312"/>
          <w:color w:val="000000" w:themeColor="text1"/>
          <w:szCs w:val="32"/>
        </w:rPr>
      </w:pPr>
      <w:r>
        <w:rPr>
          <w:rFonts w:hAnsi="仿宋_GB2312" w:cs="仿宋_GB2312" w:hint="eastAsia"/>
          <w:color w:val="000000" w:themeColor="text1"/>
          <w:szCs w:val="32"/>
        </w:rPr>
        <w:t>单位：万元</w:t>
      </w:r>
    </w:p>
    <w:tbl>
      <w:tblPr>
        <w:tblW w:w="8584" w:type="dxa"/>
        <w:jc w:val="center"/>
        <w:tblBorders>
          <w:top w:val="single" w:sz="12" w:space="0" w:color="000000"/>
          <w:bottom w:val="single" w:sz="12" w:space="0" w:color="000000"/>
          <w:insideH w:val="dotted" w:sz="4" w:space="0" w:color="000000"/>
          <w:insideV w:val="dotted" w:sz="4"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2821"/>
        <w:gridCol w:w="1711"/>
        <w:gridCol w:w="1558"/>
        <w:gridCol w:w="1276"/>
        <w:gridCol w:w="1218"/>
      </w:tblGrid>
      <w:tr w:rsidR="00265915">
        <w:trPr>
          <w:trHeight w:val="397"/>
          <w:tblHeader/>
          <w:jc w:val="center"/>
        </w:trPr>
        <w:tc>
          <w:tcPr>
            <w:tcW w:w="2821" w:type="dxa"/>
            <w:shd w:val="clear" w:color="auto" w:fill="FFFFFF" w:themeFill="background1"/>
            <w:tcMar>
              <w:top w:w="10" w:type="dxa"/>
              <w:left w:w="10" w:type="dxa"/>
              <w:right w:w="10" w:type="dxa"/>
            </w:tcMar>
            <w:vAlign w:val="center"/>
          </w:tcPr>
          <w:p w:rsidR="00265915" w:rsidRDefault="00D23F2A">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项目</w:t>
            </w:r>
          </w:p>
        </w:tc>
        <w:tc>
          <w:tcPr>
            <w:tcW w:w="1711" w:type="dxa"/>
            <w:shd w:val="clear" w:color="auto" w:fill="FFFFFF" w:themeFill="background1"/>
            <w:tcMar>
              <w:top w:w="10" w:type="dxa"/>
              <w:left w:w="10" w:type="dxa"/>
              <w:right w:w="10" w:type="dxa"/>
            </w:tcMar>
            <w:vAlign w:val="center"/>
          </w:tcPr>
          <w:p w:rsidR="00265915" w:rsidRDefault="00D23F2A">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2021年决算数</w:t>
            </w:r>
          </w:p>
        </w:tc>
        <w:tc>
          <w:tcPr>
            <w:tcW w:w="1558" w:type="dxa"/>
            <w:shd w:val="clear" w:color="auto" w:fill="FFFFFF" w:themeFill="background1"/>
            <w:tcMar>
              <w:top w:w="10" w:type="dxa"/>
              <w:left w:w="10" w:type="dxa"/>
              <w:right w:w="10" w:type="dxa"/>
            </w:tcMar>
            <w:vAlign w:val="center"/>
          </w:tcPr>
          <w:p w:rsidR="00265915" w:rsidRDefault="00D23F2A">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2020年决算数</w:t>
            </w:r>
          </w:p>
        </w:tc>
        <w:tc>
          <w:tcPr>
            <w:tcW w:w="1276" w:type="dxa"/>
            <w:shd w:val="clear" w:color="auto" w:fill="FFFFFF" w:themeFill="background1"/>
            <w:tcMar>
              <w:top w:w="10" w:type="dxa"/>
              <w:left w:w="10" w:type="dxa"/>
              <w:right w:w="10" w:type="dxa"/>
            </w:tcMar>
            <w:vAlign w:val="center"/>
          </w:tcPr>
          <w:p w:rsidR="00265915" w:rsidRDefault="00D23F2A">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差异额</w:t>
            </w:r>
          </w:p>
        </w:tc>
        <w:tc>
          <w:tcPr>
            <w:tcW w:w="1218" w:type="dxa"/>
            <w:shd w:val="clear" w:color="auto" w:fill="FFFFFF" w:themeFill="background1"/>
            <w:tcMar>
              <w:top w:w="10" w:type="dxa"/>
              <w:left w:w="10" w:type="dxa"/>
              <w:right w:w="10" w:type="dxa"/>
            </w:tcMar>
            <w:vAlign w:val="center"/>
          </w:tcPr>
          <w:p w:rsidR="00265915" w:rsidRDefault="00D23F2A">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差异率%</w:t>
            </w:r>
          </w:p>
        </w:tc>
      </w:tr>
      <w:tr w:rsidR="00265915">
        <w:trPr>
          <w:trHeight w:val="397"/>
          <w:jc w:val="center"/>
        </w:trPr>
        <w:tc>
          <w:tcPr>
            <w:tcW w:w="2821" w:type="dxa"/>
            <w:shd w:val="clear" w:color="auto" w:fill="FFFFFF" w:themeFill="background1"/>
            <w:tcMar>
              <w:top w:w="10" w:type="dxa"/>
              <w:left w:w="10" w:type="dxa"/>
              <w:right w:w="10" w:type="dxa"/>
            </w:tcMar>
            <w:vAlign w:val="center"/>
          </w:tcPr>
          <w:p w:rsidR="00265915" w:rsidRDefault="00D23F2A">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培训费支出</w:t>
            </w:r>
          </w:p>
        </w:tc>
        <w:tc>
          <w:tcPr>
            <w:tcW w:w="1711"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19.23 </w:t>
            </w:r>
          </w:p>
        </w:tc>
        <w:tc>
          <w:tcPr>
            <w:tcW w:w="1558"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27.82 </w:t>
            </w:r>
          </w:p>
        </w:tc>
        <w:tc>
          <w:tcPr>
            <w:tcW w:w="1276"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-8.59</w:t>
            </w:r>
          </w:p>
        </w:tc>
        <w:tc>
          <w:tcPr>
            <w:tcW w:w="1218"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-30.88 </w:t>
            </w:r>
          </w:p>
        </w:tc>
      </w:tr>
      <w:tr w:rsidR="00265915">
        <w:trPr>
          <w:trHeight w:val="397"/>
          <w:jc w:val="center"/>
        </w:trPr>
        <w:tc>
          <w:tcPr>
            <w:tcW w:w="2821" w:type="dxa"/>
            <w:shd w:val="clear" w:color="auto" w:fill="FFFFFF" w:themeFill="background1"/>
            <w:tcMar>
              <w:top w:w="10" w:type="dxa"/>
              <w:left w:w="10" w:type="dxa"/>
              <w:right w:w="10" w:type="dxa"/>
            </w:tcMar>
            <w:vAlign w:val="center"/>
          </w:tcPr>
          <w:p w:rsidR="00265915" w:rsidRDefault="00D23F2A">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在职人员（人）</w:t>
            </w:r>
          </w:p>
        </w:tc>
        <w:tc>
          <w:tcPr>
            <w:tcW w:w="1711"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1533</w:t>
            </w:r>
          </w:p>
        </w:tc>
        <w:tc>
          <w:tcPr>
            <w:tcW w:w="1558"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1527</w:t>
            </w:r>
          </w:p>
        </w:tc>
        <w:tc>
          <w:tcPr>
            <w:tcW w:w="1276"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6.00 </w:t>
            </w:r>
          </w:p>
        </w:tc>
        <w:tc>
          <w:tcPr>
            <w:tcW w:w="1218"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0.39 </w:t>
            </w:r>
          </w:p>
        </w:tc>
      </w:tr>
      <w:tr w:rsidR="00265915">
        <w:trPr>
          <w:trHeight w:val="397"/>
          <w:jc w:val="center"/>
        </w:trPr>
        <w:tc>
          <w:tcPr>
            <w:tcW w:w="2821" w:type="dxa"/>
            <w:shd w:val="clear" w:color="auto" w:fill="FFFFFF" w:themeFill="background1"/>
            <w:tcMar>
              <w:top w:w="10" w:type="dxa"/>
              <w:left w:w="10" w:type="dxa"/>
              <w:right w:w="10" w:type="dxa"/>
            </w:tcMar>
            <w:vAlign w:val="center"/>
          </w:tcPr>
          <w:p w:rsidR="00265915" w:rsidRDefault="00D23F2A">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人均支出（万元/人）</w:t>
            </w:r>
          </w:p>
        </w:tc>
        <w:tc>
          <w:tcPr>
            <w:tcW w:w="1711"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0.01 </w:t>
            </w:r>
          </w:p>
        </w:tc>
        <w:tc>
          <w:tcPr>
            <w:tcW w:w="1558"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0.02 </w:t>
            </w:r>
          </w:p>
        </w:tc>
        <w:tc>
          <w:tcPr>
            <w:tcW w:w="1276"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-0.01 </w:t>
            </w:r>
          </w:p>
        </w:tc>
        <w:tc>
          <w:tcPr>
            <w:tcW w:w="1218" w:type="dxa"/>
            <w:shd w:val="clear" w:color="auto" w:fill="FFFFFF" w:themeFill="background1"/>
            <w:tcMar>
              <w:top w:w="10" w:type="dxa"/>
              <w:left w:w="10" w:type="dxa"/>
              <w:right w:w="10" w:type="dxa"/>
            </w:tcMar>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-31.15 </w:t>
            </w:r>
          </w:p>
        </w:tc>
      </w:tr>
    </w:tbl>
    <w:p w:rsidR="00265915" w:rsidRDefault="00D23F2A">
      <w:pPr>
        <w:ind w:firstLineChars="200" w:firstLine="640"/>
        <w:outlineLvl w:val="1"/>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（六）市县转移支付情况</w:t>
      </w:r>
    </w:p>
    <w:p w:rsidR="00265915" w:rsidRDefault="00D23F2A">
      <w:pPr>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2021年度</w:t>
      </w:r>
      <w:proofErr w:type="gramStart"/>
      <w:r>
        <w:rPr>
          <w:rFonts w:ascii="仿宋_GB2312" w:eastAsia="仿宋_GB2312" w:hAnsi="仿宋_GB2312" w:cs="仿宋_GB2312" w:hint="eastAsia"/>
          <w:snapToGrid w:val="0"/>
          <w:kern w:val="0"/>
          <w:sz w:val="32"/>
          <w:szCs w:val="32"/>
        </w:rPr>
        <w:t>我部门</w:t>
      </w:r>
      <w:proofErr w:type="gramEnd"/>
      <w:r>
        <w:rPr>
          <w:rFonts w:ascii="仿宋_GB2312" w:eastAsia="仿宋_GB2312" w:hAnsi="仿宋_GB2312" w:cs="仿宋_GB2312" w:hint="eastAsia"/>
          <w:snapToGrid w:val="0"/>
          <w:kern w:val="0"/>
          <w:sz w:val="32"/>
          <w:szCs w:val="32"/>
        </w:rPr>
        <w:t>归口主管的对市县转移支付资金金额为8,285.60万元，项目类型如下表（具体项目单位名称和资金情况清单详见附件4）：</w:t>
      </w:r>
    </w:p>
    <w:p w:rsidR="00265915" w:rsidRDefault="00D23F2A">
      <w:pPr>
        <w:ind w:firstLineChars="200" w:firstLine="640"/>
        <w:jc w:val="righ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单位：万元</w:t>
      </w:r>
    </w:p>
    <w:tbl>
      <w:tblPr>
        <w:tblW w:w="8740"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080"/>
        <w:gridCol w:w="4300"/>
        <w:gridCol w:w="1820"/>
        <w:gridCol w:w="1540"/>
      </w:tblGrid>
      <w:tr w:rsidR="00265915">
        <w:trPr>
          <w:trHeight w:val="285"/>
          <w:tblHeader/>
        </w:trPr>
        <w:tc>
          <w:tcPr>
            <w:tcW w:w="1080"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序号</w:t>
            </w:r>
          </w:p>
        </w:tc>
        <w:tc>
          <w:tcPr>
            <w:tcW w:w="4300"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省对下项目</w:t>
            </w:r>
          </w:p>
        </w:tc>
        <w:tc>
          <w:tcPr>
            <w:tcW w:w="1820" w:type="dxa"/>
            <w:shd w:val="clear" w:color="auto" w:fill="auto"/>
            <w:vAlign w:val="center"/>
          </w:tcPr>
          <w:p w:rsidR="00265915" w:rsidRDefault="00D23F2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下达数（万元）</w:t>
            </w:r>
          </w:p>
        </w:tc>
        <w:tc>
          <w:tcPr>
            <w:tcW w:w="1540" w:type="dxa"/>
            <w:shd w:val="clear" w:color="auto" w:fill="auto"/>
            <w:vAlign w:val="center"/>
          </w:tcPr>
          <w:p w:rsidR="00265915" w:rsidRDefault="00D23F2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资金性质</w:t>
            </w:r>
          </w:p>
        </w:tc>
      </w:tr>
      <w:tr w:rsidR="00265915">
        <w:trPr>
          <w:trHeight w:val="270"/>
        </w:trPr>
        <w:tc>
          <w:tcPr>
            <w:tcW w:w="1080" w:type="dxa"/>
            <w:shd w:val="clear" w:color="auto" w:fill="auto"/>
            <w:vAlign w:val="center"/>
          </w:tcPr>
          <w:p w:rsidR="00265915" w:rsidRDefault="00D23F2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c>
          <w:tcPr>
            <w:tcW w:w="4300" w:type="dxa"/>
            <w:shd w:val="clear" w:color="auto" w:fill="auto"/>
            <w:vAlign w:val="center"/>
          </w:tcPr>
          <w:p w:rsidR="00265915" w:rsidRDefault="00D23F2A">
            <w:pP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合计</w:t>
            </w:r>
          </w:p>
        </w:tc>
        <w:tc>
          <w:tcPr>
            <w:tcW w:w="1820" w:type="dxa"/>
            <w:shd w:val="clear" w:color="auto" w:fill="auto"/>
            <w:vAlign w:val="center"/>
          </w:tcPr>
          <w:p w:rsidR="00265915" w:rsidRDefault="00D23F2A">
            <w:pPr>
              <w:jc w:val="righ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8,285.60</w:t>
            </w:r>
          </w:p>
        </w:tc>
        <w:tc>
          <w:tcPr>
            <w:tcW w:w="1540" w:type="dxa"/>
            <w:shd w:val="clear" w:color="auto" w:fill="auto"/>
            <w:vAlign w:val="center"/>
          </w:tcPr>
          <w:p w:rsidR="00265915" w:rsidRDefault="00265915">
            <w:pPr>
              <w:rPr>
                <w:rFonts w:ascii="仿宋_GB2312" w:eastAsia="仿宋_GB2312" w:hAnsi="仿宋_GB2312" w:cs="仿宋_GB2312"/>
                <w:color w:val="000000"/>
                <w:kern w:val="0"/>
                <w:sz w:val="24"/>
                <w:szCs w:val="24"/>
              </w:rPr>
            </w:pPr>
          </w:p>
        </w:tc>
      </w:tr>
      <w:tr w:rsidR="00265915">
        <w:trPr>
          <w:trHeight w:val="270"/>
        </w:trPr>
        <w:tc>
          <w:tcPr>
            <w:tcW w:w="1080" w:type="dxa"/>
            <w:shd w:val="clear" w:color="auto" w:fill="auto"/>
            <w:vAlign w:val="center"/>
          </w:tcPr>
          <w:p w:rsidR="00265915" w:rsidRDefault="00D23F2A">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sz w:val="24"/>
                <w:szCs w:val="24"/>
              </w:rPr>
              <w:t>1</w:t>
            </w:r>
          </w:p>
        </w:tc>
        <w:tc>
          <w:tcPr>
            <w:tcW w:w="4300" w:type="dxa"/>
            <w:shd w:val="clear" w:color="auto" w:fill="auto"/>
            <w:vAlign w:val="center"/>
          </w:tcPr>
          <w:p w:rsidR="00265915" w:rsidRDefault="00D23F2A">
            <w:pPr>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公共体育场馆向社会免费或低收费开放</w:t>
            </w:r>
          </w:p>
        </w:tc>
        <w:tc>
          <w:tcPr>
            <w:tcW w:w="1820"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6,297.00</w:t>
            </w:r>
          </w:p>
        </w:tc>
        <w:tc>
          <w:tcPr>
            <w:tcW w:w="1540" w:type="dxa"/>
            <w:shd w:val="clear" w:color="auto" w:fill="auto"/>
            <w:vAlign w:val="center"/>
          </w:tcPr>
          <w:p w:rsidR="00265915" w:rsidRDefault="00D23F2A">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中央资金</w:t>
            </w:r>
          </w:p>
        </w:tc>
      </w:tr>
      <w:tr w:rsidR="00265915">
        <w:trPr>
          <w:trHeight w:val="270"/>
        </w:trPr>
        <w:tc>
          <w:tcPr>
            <w:tcW w:w="1080" w:type="dxa"/>
            <w:shd w:val="clear" w:color="auto" w:fill="auto"/>
            <w:vAlign w:val="center"/>
          </w:tcPr>
          <w:p w:rsidR="00265915" w:rsidRDefault="00D23F2A">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4300" w:type="dxa"/>
            <w:shd w:val="clear" w:color="auto" w:fill="auto"/>
            <w:vAlign w:val="center"/>
          </w:tcPr>
          <w:p w:rsidR="00265915" w:rsidRDefault="00D23F2A">
            <w:pPr>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公共体育场馆向社会免费或低收费开放</w:t>
            </w:r>
          </w:p>
        </w:tc>
        <w:tc>
          <w:tcPr>
            <w:tcW w:w="1820"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473.60</w:t>
            </w:r>
          </w:p>
        </w:tc>
        <w:tc>
          <w:tcPr>
            <w:tcW w:w="1540" w:type="dxa"/>
            <w:shd w:val="clear" w:color="auto" w:fill="auto"/>
            <w:vAlign w:val="center"/>
          </w:tcPr>
          <w:p w:rsidR="00265915" w:rsidRDefault="00D23F2A">
            <w:pPr>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省级资金</w:t>
            </w:r>
            <w:proofErr w:type="gramEnd"/>
          </w:p>
        </w:tc>
      </w:tr>
      <w:tr w:rsidR="00265915">
        <w:trPr>
          <w:trHeight w:val="270"/>
        </w:trPr>
        <w:tc>
          <w:tcPr>
            <w:tcW w:w="1080" w:type="dxa"/>
            <w:shd w:val="clear" w:color="auto" w:fill="auto"/>
            <w:vAlign w:val="center"/>
          </w:tcPr>
          <w:p w:rsidR="00265915" w:rsidRDefault="00D23F2A">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4300" w:type="dxa"/>
            <w:shd w:val="clear" w:color="auto" w:fill="auto"/>
            <w:vAlign w:val="center"/>
          </w:tcPr>
          <w:p w:rsidR="00265915" w:rsidRDefault="00D23F2A">
            <w:pPr>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中央集中彩票公益金</w:t>
            </w:r>
          </w:p>
        </w:tc>
        <w:tc>
          <w:tcPr>
            <w:tcW w:w="1820"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1,015.00</w:t>
            </w:r>
          </w:p>
        </w:tc>
        <w:tc>
          <w:tcPr>
            <w:tcW w:w="1540" w:type="dxa"/>
            <w:shd w:val="clear" w:color="auto" w:fill="auto"/>
            <w:vAlign w:val="center"/>
          </w:tcPr>
          <w:p w:rsidR="00265915" w:rsidRDefault="00D23F2A">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中央资金</w:t>
            </w:r>
          </w:p>
        </w:tc>
      </w:tr>
      <w:tr w:rsidR="00265915">
        <w:trPr>
          <w:trHeight w:val="270"/>
        </w:trPr>
        <w:tc>
          <w:tcPr>
            <w:tcW w:w="1080" w:type="dxa"/>
            <w:shd w:val="clear" w:color="auto" w:fill="auto"/>
            <w:vAlign w:val="center"/>
          </w:tcPr>
          <w:p w:rsidR="00265915" w:rsidRDefault="00D23F2A">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4300" w:type="dxa"/>
            <w:shd w:val="clear" w:color="auto" w:fill="auto"/>
            <w:vAlign w:val="center"/>
          </w:tcPr>
          <w:p w:rsidR="00265915" w:rsidRDefault="00D23F2A">
            <w:pPr>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体育后备人才培养资金</w:t>
            </w:r>
          </w:p>
        </w:tc>
        <w:tc>
          <w:tcPr>
            <w:tcW w:w="1820"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400.00</w:t>
            </w:r>
          </w:p>
        </w:tc>
        <w:tc>
          <w:tcPr>
            <w:tcW w:w="1540" w:type="dxa"/>
            <w:shd w:val="clear" w:color="auto" w:fill="auto"/>
            <w:vAlign w:val="center"/>
          </w:tcPr>
          <w:p w:rsidR="00265915" w:rsidRDefault="00D23F2A">
            <w:pPr>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省级资金</w:t>
            </w:r>
            <w:proofErr w:type="gramEnd"/>
          </w:p>
        </w:tc>
      </w:tr>
      <w:tr w:rsidR="00265915">
        <w:trPr>
          <w:trHeight w:val="270"/>
        </w:trPr>
        <w:tc>
          <w:tcPr>
            <w:tcW w:w="1080" w:type="dxa"/>
            <w:shd w:val="clear" w:color="auto" w:fill="auto"/>
            <w:vAlign w:val="center"/>
          </w:tcPr>
          <w:p w:rsidR="00265915" w:rsidRDefault="00D23F2A">
            <w:pPr>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p>
        </w:tc>
        <w:tc>
          <w:tcPr>
            <w:tcW w:w="4300" w:type="dxa"/>
            <w:shd w:val="clear" w:color="auto" w:fill="auto"/>
            <w:vAlign w:val="center"/>
          </w:tcPr>
          <w:p w:rsidR="00265915" w:rsidRDefault="00D23F2A">
            <w:pPr>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群众体育活动资金</w:t>
            </w:r>
          </w:p>
        </w:tc>
        <w:tc>
          <w:tcPr>
            <w:tcW w:w="1820" w:type="dxa"/>
            <w:shd w:val="clear" w:color="auto" w:fill="auto"/>
            <w:vAlign w:val="center"/>
          </w:tcPr>
          <w:p w:rsidR="00265915" w:rsidRDefault="00D23F2A">
            <w:pPr>
              <w:jc w:val="righ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100.00</w:t>
            </w:r>
          </w:p>
        </w:tc>
        <w:tc>
          <w:tcPr>
            <w:tcW w:w="1540" w:type="dxa"/>
            <w:shd w:val="clear" w:color="auto" w:fill="auto"/>
            <w:vAlign w:val="center"/>
          </w:tcPr>
          <w:p w:rsidR="00265915" w:rsidRDefault="00D23F2A">
            <w:pPr>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省级资金</w:t>
            </w:r>
            <w:proofErr w:type="gramEnd"/>
          </w:p>
        </w:tc>
      </w:tr>
    </w:tbl>
    <w:p w:rsidR="00265915" w:rsidRDefault="00D23F2A">
      <w:pPr>
        <w:ind w:firstLineChars="200" w:firstLine="640"/>
        <w:outlineLvl w:val="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公共体育场馆向社会免费或低收费开放项目下达中央资金6,297.00万元，下达</w:t>
      </w:r>
      <w:proofErr w:type="gramStart"/>
      <w:r>
        <w:rPr>
          <w:rFonts w:ascii="仿宋_GB2312" w:eastAsia="仿宋_GB2312" w:hAnsi="仿宋_GB2312" w:cs="仿宋_GB2312" w:hint="eastAsia"/>
          <w:snapToGrid w:val="0"/>
          <w:kern w:val="0"/>
          <w:sz w:val="32"/>
          <w:szCs w:val="32"/>
        </w:rPr>
        <w:t>省级资金</w:t>
      </w:r>
      <w:proofErr w:type="gramEnd"/>
      <w:r>
        <w:rPr>
          <w:rFonts w:ascii="仿宋_GB2312" w:eastAsia="仿宋_GB2312" w:hAnsi="仿宋_GB2312" w:cs="仿宋_GB2312" w:hint="eastAsia"/>
          <w:snapToGrid w:val="0"/>
          <w:kern w:val="0"/>
          <w:sz w:val="32"/>
          <w:szCs w:val="32"/>
        </w:rPr>
        <w:t>473.60万元，共补助全省118个体育场馆，资金主要用于支持公共体育场馆开展基本公共体育服务所需支出，包括公益性体育赛事活动举办、公益性体育培训、体育场馆日常维护、能源费用、设备器材更新、体育场馆信息化服务等运营环境改善。</w:t>
      </w:r>
    </w:p>
    <w:p w:rsidR="00265915" w:rsidRDefault="00D23F2A">
      <w:pPr>
        <w:ind w:firstLineChars="200" w:firstLine="640"/>
        <w:outlineLvl w:val="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中央集中彩票公益金下达1,015.00万元，其中用于全民健身赛事活动270.00万元；全民健身场地设施300.00万元；社体指导员培训110万元；青少年体育赛事活动项目115.00万元；后备人才基地建设130万元；教练员培训90万。</w:t>
      </w:r>
    </w:p>
    <w:p w:rsidR="00265915" w:rsidRDefault="00D23F2A">
      <w:pPr>
        <w:ind w:firstLineChars="200" w:firstLine="640"/>
        <w:outlineLvl w:val="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体育后备人才培养资金下达400.00万元，共补助29家体育学校和体育训练管理中心，补助包括羽毛球、皮划艇、赛艇、体操、蹦床、摔跤、中国跤、柔道、跆拳道、武术、拳击、射击、田径、游泳、跳水、水球、</w:t>
      </w:r>
      <w:r>
        <w:rPr>
          <w:rFonts w:ascii="仿宋_GB2312" w:eastAsia="仿宋_GB2312" w:hAnsi="仿宋_GB2312" w:cs="仿宋_GB2312" w:hint="eastAsia"/>
          <w:snapToGrid w:val="0"/>
          <w:kern w:val="0"/>
          <w:sz w:val="32"/>
          <w:szCs w:val="32"/>
        </w:rPr>
        <w:lastRenderedPageBreak/>
        <w:t>举重等16个运动项目。</w:t>
      </w:r>
    </w:p>
    <w:p w:rsidR="00265915" w:rsidRDefault="00D23F2A">
      <w:pPr>
        <w:ind w:firstLineChars="200" w:firstLine="640"/>
        <w:outlineLvl w:val="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群众体育活动资金下达100万元。其中长沙市体育局2021年“纪念毛泽东诞辰128周年”省（市）直属机关健康长跑赛30.00万元；怀化市</w:t>
      </w:r>
      <w:proofErr w:type="gramStart"/>
      <w:r>
        <w:rPr>
          <w:rFonts w:ascii="仿宋_GB2312" w:eastAsia="仿宋_GB2312" w:hAnsi="仿宋_GB2312" w:cs="仿宋_GB2312" w:hint="eastAsia"/>
          <w:snapToGrid w:val="0"/>
          <w:kern w:val="0"/>
          <w:sz w:val="32"/>
          <w:szCs w:val="32"/>
        </w:rPr>
        <w:t>文旅广</w:t>
      </w:r>
      <w:proofErr w:type="gramEnd"/>
      <w:r>
        <w:rPr>
          <w:rFonts w:ascii="仿宋_GB2312" w:eastAsia="仿宋_GB2312" w:hAnsi="仿宋_GB2312" w:cs="仿宋_GB2312" w:hint="eastAsia"/>
          <w:snapToGrid w:val="0"/>
          <w:kern w:val="0"/>
          <w:sz w:val="32"/>
          <w:szCs w:val="32"/>
        </w:rPr>
        <w:t>体局2021年湖南省体育系统气排球赛30万元；永州市</w:t>
      </w:r>
      <w:proofErr w:type="gramStart"/>
      <w:r>
        <w:rPr>
          <w:rFonts w:ascii="仿宋_GB2312" w:eastAsia="仿宋_GB2312" w:hAnsi="仿宋_GB2312" w:cs="仿宋_GB2312" w:hint="eastAsia"/>
          <w:snapToGrid w:val="0"/>
          <w:kern w:val="0"/>
          <w:sz w:val="32"/>
          <w:szCs w:val="32"/>
        </w:rPr>
        <w:t>文旅广</w:t>
      </w:r>
      <w:proofErr w:type="gramEnd"/>
      <w:r>
        <w:rPr>
          <w:rFonts w:ascii="仿宋_GB2312" w:eastAsia="仿宋_GB2312" w:hAnsi="仿宋_GB2312" w:cs="仿宋_GB2312" w:hint="eastAsia"/>
          <w:snapToGrid w:val="0"/>
          <w:kern w:val="0"/>
          <w:sz w:val="32"/>
          <w:szCs w:val="32"/>
        </w:rPr>
        <w:t>体局2021年湖南省山地户外社会体育指导员培训14.00万元；邵阳市全民健身服务中心2021年湖南省气排球一级社体指导员培训13.00万元；湘潭市</w:t>
      </w:r>
      <w:proofErr w:type="gramStart"/>
      <w:r>
        <w:rPr>
          <w:rFonts w:ascii="仿宋_GB2312" w:eastAsia="仿宋_GB2312" w:hAnsi="仿宋_GB2312" w:cs="仿宋_GB2312" w:hint="eastAsia"/>
          <w:snapToGrid w:val="0"/>
          <w:kern w:val="0"/>
          <w:sz w:val="32"/>
          <w:szCs w:val="32"/>
        </w:rPr>
        <w:t>文旅广</w:t>
      </w:r>
      <w:proofErr w:type="gramEnd"/>
      <w:r>
        <w:rPr>
          <w:rFonts w:ascii="仿宋_GB2312" w:eastAsia="仿宋_GB2312" w:hAnsi="仿宋_GB2312" w:cs="仿宋_GB2312" w:hint="eastAsia"/>
          <w:snapToGrid w:val="0"/>
          <w:kern w:val="0"/>
          <w:sz w:val="32"/>
          <w:szCs w:val="32"/>
        </w:rPr>
        <w:t>体局2021年湖南省排舞一级社体指导员培训13.00万元。</w:t>
      </w:r>
    </w:p>
    <w:p w:rsidR="00265915" w:rsidRDefault="00D23F2A">
      <w:pPr>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三、政府性基金预算支出情况</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政府性基金全年预算数21,223.73万元，执行数17,286.51万元，结余3,937.22万元，预算执行率81.45%，全部为项目支出。</w:t>
      </w:r>
      <w:proofErr w:type="gramStart"/>
      <w:r>
        <w:rPr>
          <w:rFonts w:ascii="仿宋_GB2312" w:eastAsia="仿宋_GB2312" w:hAnsi="仿宋_GB2312" w:cs="仿宋_GB2312" w:hint="eastAsia"/>
          <w:sz w:val="32"/>
          <w:szCs w:val="32"/>
        </w:rPr>
        <w:t>包含省</w:t>
      </w:r>
      <w:proofErr w:type="gramEnd"/>
      <w:r>
        <w:rPr>
          <w:rFonts w:ascii="仿宋_GB2312" w:eastAsia="仿宋_GB2312" w:hAnsi="仿宋_GB2312" w:cs="仿宋_GB2312" w:hint="eastAsia"/>
          <w:sz w:val="32"/>
          <w:szCs w:val="32"/>
        </w:rPr>
        <w:t>本级使用的全民健身活动和奥运争光等体育事业发展支出。结余资金主要为：湖南省体育局本级全民健身活动类项目结余1,148.48万元、健身器材购置及潇湘健身步道标识标牌配置结余542.78万元、体育宣传项目和全运会备战宣传结余116.87万元，湖南体育信息化平台建设项目结余100万元，体育产业统计调查结余75万元，湖南体育产业发展“十四五”规划结余70万元；湖南省航空运动管理中心大浦机场加油站建设项目结余336.65万元，大浦机场建设项目结余153.62万元；湖南省网球足球运动管理中心足球二期建设项目结余288.01万元，省级体彩公益金（足球二期）结余204.89万元；湖南省体育人才交流服务中心退役运动员安置费结余164.34万元；湖南体育职业学院优秀运动员公寓建设项目结余139.61万元；湖南郴州体育训练基地运动综合大楼及新增配套设施改造项目结余113.67万元；湖南省体育专科医院维修和设备购置结余83.14万元。</w:t>
      </w:r>
    </w:p>
    <w:p w:rsidR="00265915" w:rsidRDefault="00D23F2A">
      <w:pPr>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四、部门整体支出绩效情况</w:t>
      </w:r>
    </w:p>
    <w:p w:rsidR="00265915" w:rsidRDefault="00D23F2A">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color w:val="000000"/>
          <w:kern w:val="2"/>
          <w:sz w:val="32"/>
          <w:szCs w:val="32"/>
        </w:rPr>
        <w:t>2021年度，</w:t>
      </w:r>
      <w:proofErr w:type="gramStart"/>
      <w:r>
        <w:rPr>
          <w:rFonts w:ascii="仿宋_GB2312" w:eastAsia="仿宋_GB2312" w:hAnsi="仿宋_GB2312" w:cs="仿宋_GB2312" w:hint="eastAsia"/>
          <w:color w:val="000000"/>
          <w:kern w:val="2"/>
          <w:sz w:val="32"/>
          <w:szCs w:val="32"/>
        </w:rPr>
        <w:t>我部门</w:t>
      </w:r>
      <w:proofErr w:type="gramEnd"/>
      <w:r>
        <w:rPr>
          <w:rFonts w:ascii="仿宋_GB2312" w:eastAsia="仿宋_GB2312" w:hAnsi="仿宋_GB2312" w:cs="仿宋_GB2312" w:hint="eastAsia"/>
          <w:color w:val="000000"/>
          <w:kern w:val="2"/>
          <w:sz w:val="32"/>
          <w:szCs w:val="32"/>
        </w:rPr>
        <w:t>圆满完成了省委省政府和国家体育总局交办</w:t>
      </w:r>
      <w:r>
        <w:rPr>
          <w:rFonts w:ascii="仿宋_GB2312" w:eastAsia="仿宋_GB2312" w:hAnsi="仿宋_GB2312" w:cs="仿宋_GB2312" w:hint="eastAsia"/>
          <w:kern w:val="2"/>
          <w:sz w:val="32"/>
          <w:szCs w:val="32"/>
        </w:rPr>
        <w:t>的重点</w:t>
      </w:r>
      <w:r>
        <w:rPr>
          <w:rFonts w:ascii="仿宋_GB2312" w:eastAsia="仿宋_GB2312" w:hAnsi="仿宋_GB2312" w:cs="仿宋_GB2312" w:hint="eastAsia"/>
          <w:kern w:val="2"/>
          <w:sz w:val="32"/>
          <w:szCs w:val="32"/>
        </w:rPr>
        <w:lastRenderedPageBreak/>
        <w:t>工作任务，年初设定的绩效目标基本完成。通过预算收支管理,不断建立健全内部管理制度,梳理内部管理流程,部门整体支出情况得到提升。根据部门整体支出绩效指自评表，评价得分92.69分（详见附件2），绩效等级为：优。具体如下：</w:t>
      </w:r>
    </w:p>
    <w:p w:rsidR="00265915" w:rsidRDefault="00D23F2A">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color w:val="000000"/>
          <w:kern w:val="2"/>
          <w:sz w:val="32"/>
          <w:szCs w:val="32"/>
        </w:rPr>
        <w:t>（一）管理效率良好</w:t>
      </w:r>
    </w:p>
    <w:p w:rsidR="00265915" w:rsidRDefault="00D23F2A">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kern w:val="2"/>
          <w:sz w:val="32"/>
          <w:szCs w:val="32"/>
        </w:rPr>
      </w:pPr>
      <w:proofErr w:type="gramStart"/>
      <w:r>
        <w:rPr>
          <w:rFonts w:ascii="仿宋_GB2312" w:eastAsia="仿宋_GB2312" w:hAnsi="仿宋_GB2312" w:cs="仿宋_GB2312" w:hint="eastAsia"/>
          <w:color w:val="000000"/>
          <w:kern w:val="2"/>
          <w:sz w:val="32"/>
          <w:szCs w:val="32"/>
        </w:rPr>
        <w:t>我部门</w:t>
      </w:r>
      <w:proofErr w:type="gramEnd"/>
      <w:r>
        <w:rPr>
          <w:rFonts w:ascii="仿宋_GB2312" w:eastAsia="仿宋_GB2312" w:hAnsi="仿宋_GB2312" w:cs="仿宋_GB2312" w:hint="eastAsia"/>
          <w:color w:val="000000"/>
          <w:kern w:val="2"/>
          <w:sz w:val="32"/>
          <w:szCs w:val="32"/>
        </w:rPr>
        <w:t>严格按照省财政有关要求，组织所有二级预算单位编制</w:t>
      </w:r>
    </w:p>
    <w:p w:rsidR="00265915" w:rsidRDefault="00D23F2A">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kern w:val="2"/>
          <w:sz w:val="32"/>
          <w:szCs w:val="32"/>
        </w:rPr>
        <w:t>部门预算，压缩一般行政支出，严格控制基本支出和人员经费，继续严格贯彻实施中央、省关于过“紧日子”的重要决策部署，严控“三公经费”、公用经费支出，严</w:t>
      </w:r>
      <w:r>
        <w:rPr>
          <w:rFonts w:ascii="仿宋_GB2312" w:eastAsia="仿宋_GB2312" w:hAnsi="仿宋_GB2312" w:cs="仿宋_GB2312" w:hint="eastAsia"/>
          <w:sz w:val="32"/>
          <w:szCs w:val="32"/>
        </w:rPr>
        <w:t xml:space="preserve">格按政府采购管理要求，电子卖场应采尽采，按照“严控增量、调整存量”的原则，把好资产配置关，监督预算单位做好资产采购、使用管理及处置等日常工作，禁止违规新建楼堂馆所，切实降低管理运行成本。2021年度整体支出预算执行率90.01%，公用经费控制率96.79%，人均公用经费成本为2.59万元/人，在控制范围2.7万/人以内；人均办公费成本为0.28万元，在控制范围0.30万/人以内。 </w:t>
      </w:r>
    </w:p>
    <w:p w:rsidR="00265915" w:rsidRDefault="00D23F2A">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color w:val="000000"/>
          <w:kern w:val="2"/>
          <w:sz w:val="32"/>
          <w:szCs w:val="32"/>
        </w:rPr>
      </w:pPr>
      <w:r>
        <w:rPr>
          <w:rFonts w:ascii="楷体_GB2312" w:eastAsia="楷体_GB2312" w:hAnsi="楷体_GB2312" w:cs="楷体_GB2312" w:hint="eastAsia"/>
          <w:color w:val="000000"/>
          <w:kern w:val="2"/>
          <w:sz w:val="32"/>
          <w:szCs w:val="32"/>
        </w:rPr>
        <w:t>（二）加强预算监督，预算管理水平提升</w:t>
      </w:r>
    </w:p>
    <w:p w:rsidR="00265915" w:rsidRDefault="00D23F2A">
      <w:pPr>
        <w:ind w:firstLineChars="200" w:firstLine="640"/>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预算执行环节强调硬性约束，严格按计划进度审批用款。严控经费调剂，基本支出预算执行做到金额不超支、科目不混用，严格控制没有预算的专项业务支出，做到预算执行结果尽可能地与预算批复相衔接。定期进行财务分析，报告预算执行进度，尽量减少年终结转。</w:t>
      </w:r>
    </w:p>
    <w:p w:rsidR="00265915" w:rsidRDefault="00D23F2A">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color w:val="000000"/>
          <w:kern w:val="2"/>
          <w:sz w:val="32"/>
          <w:szCs w:val="32"/>
        </w:rPr>
      </w:pPr>
      <w:r>
        <w:rPr>
          <w:rFonts w:ascii="楷体_GB2312" w:eastAsia="楷体_GB2312" w:hAnsi="楷体_GB2312" w:cs="楷体_GB2312" w:hint="eastAsia"/>
          <w:color w:val="000000"/>
          <w:kern w:val="2"/>
          <w:sz w:val="32"/>
          <w:szCs w:val="32"/>
        </w:rPr>
        <w:t>（三）绩效评价和内部审计监管联动，有效推进绩效管理</w:t>
      </w:r>
    </w:p>
    <w:p w:rsidR="00265915" w:rsidRDefault="00D23F2A">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项目资金绩效管理方面，本年配合完成了国家体育总局组织的“2020年度中央补助地方公共文化服务体系建设专项资金绩效评价”和“2020年度中央集中体育彩票公益金绩效评价”；按照省财政厅要求，完成了“2020年度省级体彩公益金绩效评价”、“2020年度公共体育场馆免低低收费补</w:t>
      </w:r>
      <w:r>
        <w:rPr>
          <w:rFonts w:ascii="仿宋_GB2312" w:eastAsia="仿宋_GB2312" w:hAnsi="仿宋_GB2312" w:cs="仿宋_GB2312" w:hint="eastAsia"/>
          <w:sz w:val="32"/>
          <w:szCs w:val="32"/>
        </w:rPr>
        <w:lastRenderedPageBreak/>
        <w:t>助资金绩效评价”以及完成了2021年度的项目资金中期绩效监控工作；</w:t>
      </w:r>
      <w:r>
        <w:rPr>
          <w:rFonts w:ascii="仿宋_GB2312" w:eastAsia="仿宋_GB2312" w:hAnsi="仿宋_GB2312" w:cs="仿宋_GB2312" w:hint="eastAsia"/>
          <w:color w:val="000000"/>
          <w:kern w:val="2"/>
          <w:sz w:val="32"/>
          <w:szCs w:val="32"/>
        </w:rPr>
        <w:t>加强了内部审计监督，2021年开展了对业务处室、二级单位内部巡察财务审查工作，组织了对贺龙体育馆、省游泳中心等4个事业单位的财务收支和重要经济活动专项审计，内部审计工作步入了常态化。</w:t>
      </w:r>
    </w:p>
    <w:p w:rsidR="00265915" w:rsidRDefault="00D23F2A">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color w:val="000000"/>
          <w:kern w:val="2"/>
          <w:sz w:val="32"/>
          <w:szCs w:val="32"/>
        </w:rPr>
      </w:pPr>
      <w:r>
        <w:rPr>
          <w:rFonts w:ascii="楷体_GB2312" w:eastAsia="楷体_GB2312" w:hAnsi="楷体_GB2312" w:cs="楷体_GB2312" w:hint="eastAsia"/>
          <w:color w:val="000000"/>
          <w:kern w:val="2"/>
          <w:sz w:val="32"/>
          <w:szCs w:val="32"/>
        </w:rPr>
        <w:t>（四）体育发展体系更加坚实，可持续影响力增强</w:t>
      </w:r>
    </w:p>
    <w:p w:rsidR="00265915" w:rsidRDefault="00D23F2A">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w:t>
      </w:r>
      <w:proofErr w:type="gramStart"/>
      <w:r>
        <w:rPr>
          <w:rFonts w:ascii="仿宋_GB2312" w:eastAsia="仿宋_GB2312" w:hAnsi="仿宋_GB2312" w:cs="仿宋_GB2312" w:hint="eastAsia"/>
          <w:color w:val="000000"/>
          <w:sz w:val="32"/>
          <w:szCs w:val="32"/>
        </w:rPr>
        <w:t>我部门</w:t>
      </w:r>
      <w:proofErr w:type="gramEnd"/>
      <w:r>
        <w:rPr>
          <w:rFonts w:ascii="仿宋_GB2312" w:eastAsia="仿宋_GB2312" w:hAnsi="仿宋_GB2312" w:cs="仿宋_GB2312" w:hint="eastAsia"/>
          <w:color w:val="000000"/>
          <w:sz w:val="32"/>
          <w:szCs w:val="32"/>
        </w:rPr>
        <w:t>依据党中央、国务院总体部署和湖南省“三高四新”战略定位和使命任务，从湖南体育发展的实际出发，提出“十四五”时期湖南体育发展思路，印发《湖南省体育发展“十四五”规划》，</w:t>
      </w:r>
      <w:r>
        <w:rPr>
          <w:rFonts w:ascii="仿宋_GB2312" w:eastAsia="仿宋_GB2312" w:hAnsi="仿宋_GB2312" w:cs="仿宋_GB2312" w:hint="eastAsia"/>
          <w:color w:val="000000" w:themeColor="text1"/>
          <w:sz w:val="32"/>
          <w:szCs w:val="32"/>
        </w:rPr>
        <w:t>并配套制定了《贯彻落实&lt;湖南体育强省建设规划（2020—2030年）工作方案》，以明确的具体措施、责任分工、完成时限，确保体育强省工作任务和指标落到实处</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themeColor="text1"/>
          <w:sz w:val="32"/>
          <w:szCs w:val="32"/>
        </w:rPr>
        <w:t>经</w:t>
      </w:r>
      <w:proofErr w:type="gramStart"/>
      <w:r>
        <w:rPr>
          <w:rFonts w:ascii="仿宋_GB2312" w:eastAsia="仿宋_GB2312" w:hAnsi="仿宋_GB2312" w:cs="仿宋_GB2312" w:hint="eastAsia"/>
          <w:color w:val="000000" w:themeColor="text1"/>
          <w:sz w:val="32"/>
          <w:szCs w:val="32"/>
        </w:rPr>
        <w:t>省委深改委</w:t>
      </w:r>
      <w:proofErr w:type="gramEnd"/>
      <w:r>
        <w:rPr>
          <w:rFonts w:ascii="仿宋_GB2312" w:eastAsia="仿宋_GB2312" w:hAnsi="仿宋_GB2312" w:cs="仿宋_GB2312" w:hint="eastAsia"/>
          <w:color w:val="000000" w:themeColor="text1"/>
          <w:sz w:val="32"/>
          <w:szCs w:val="32"/>
        </w:rPr>
        <w:t>会议审议通过并经省政府同意，联合省教育厅出台了《湖南省深化体教融合 促进青少年健康发展实施方案》；对全省青少年锦标赛实行管办分离，将2021年省青少年锦标赛成绩按自选项目和一定比例</w:t>
      </w:r>
      <w:proofErr w:type="gramStart"/>
      <w:r>
        <w:rPr>
          <w:rFonts w:ascii="仿宋_GB2312" w:eastAsia="仿宋_GB2312" w:hAnsi="仿宋_GB2312" w:cs="仿宋_GB2312" w:hint="eastAsia"/>
          <w:color w:val="000000" w:themeColor="text1"/>
          <w:sz w:val="32"/>
          <w:szCs w:val="32"/>
        </w:rPr>
        <w:t>带入省</w:t>
      </w:r>
      <w:proofErr w:type="gramEnd"/>
      <w:r>
        <w:rPr>
          <w:rFonts w:ascii="仿宋_GB2312" w:eastAsia="仿宋_GB2312" w:hAnsi="仿宋_GB2312" w:cs="仿宋_GB2312" w:hint="eastAsia"/>
          <w:color w:val="000000" w:themeColor="text1"/>
          <w:sz w:val="32"/>
          <w:szCs w:val="32"/>
        </w:rPr>
        <w:t>运会，在全省青少年比赛中增加体能达标，提高运动员的参赛质量，不断完善赛事管理和监督、运动员资格注册等制度；完善了全省赛事活动监督管理机制，强化赛事活动领域内政府监管与行业自律的发展态势，优化体育赛事活动服务，发布了《湖南省体育局群众性体育赛事活动绩评价办法（试行）》。</w:t>
      </w:r>
      <w:r>
        <w:rPr>
          <w:rFonts w:ascii="仿宋_GB2312" w:eastAsia="仿宋_GB2312" w:hAnsi="仿宋_GB2312" w:cs="仿宋_GB2312" w:hint="eastAsia"/>
          <w:color w:val="000000"/>
          <w:sz w:val="32"/>
          <w:szCs w:val="32"/>
        </w:rPr>
        <w:t>相关措施的落实，进一步推动了体育强省和健康湖南建设，促进我省体育事业可持续发展。</w:t>
      </w:r>
    </w:p>
    <w:p w:rsidR="00265915" w:rsidRDefault="00D23F2A">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color w:val="000000"/>
          <w:kern w:val="2"/>
          <w:sz w:val="32"/>
          <w:szCs w:val="32"/>
        </w:rPr>
      </w:pPr>
      <w:r>
        <w:rPr>
          <w:rFonts w:ascii="楷体_GB2312" w:eastAsia="楷体_GB2312" w:hAnsi="楷体_GB2312" w:cs="楷体_GB2312" w:hint="eastAsia"/>
          <w:color w:val="000000"/>
          <w:kern w:val="2"/>
          <w:sz w:val="32"/>
          <w:szCs w:val="32"/>
        </w:rPr>
        <w:t>（五）履职效能明显提高，社会公众满意度不断提升</w:t>
      </w:r>
    </w:p>
    <w:p w:rsidR="00265915" w:rsidRDefault="00D23F2A">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2021年是建党一百周年，也是奥运会、全运会同年举办的体育大年，</w:t>
      </w:r>
      <w:proofErr w:type="gramStart"/>
      <w:r>
        <w:rPr>
          <w:rFonts w:ascii="仿宋_GB2312" w:eastAsia="仿宋_GB2312" w:hAnsi="仿宋_GB2312" w:cs="仿宋_GB2312" w:hint="eastAsia"/>
          <w:color w:val="000000" w:themeColor="text1"/>
          <w:sz w:val="32"/>
          <w:szCs w:val="32"/>
        </w:rPr>
        <w:t>我部门</w:t>
      </w:r>
      <w:proofErr w:type="gramEnd"/>
      <w:r>
        <w:rPr>
          <w:rFonts w:ascii="仿宋_GB2312" w:eastAsia="仿宋_GB2312" w:hAnsi="仿宋_GB2312" w:cs="仿宋_GB2312" w:hint="eastAsia"/>
          <w:color w:val="000000" w:themeColor="text1"/>
          <w:sz w:val="32"/>
          <w:szCs w:val="32"/>
        </w:rPr>
        <w:t>在省委、省政府领导的重视和关心下，在省体育系统全体同志的共同努力下，全省体育工作成效显著、精彩纷呈，实现了“十四五”良好开局，在推动我省群众体育发展，全省全民健身活动的开展，提高竞技体育</w:t>
      </w:r>
      <w:r>
        <w:rPr>
          <w:rFonts w:ascii="仿宋_GB2312" w:eastAsia="仿宋_GB2312" w:hAnsi="仿宋_GB2312" w:cs="仿宋_GB2312" w:hint="eastAsia"/>
          <w:color w:val="000000" w:themeColor="text1"/>
          <w:sz w:val="32"/>
          <w:szCs w:val="32"/>
        </w:rPr>
        <w:lastRenderedPageBreak/>
        <w:t>实力、体育公共服务能力，青少年体育工作及业余训练的加强，体育产业发展、大众体育消费能力及全省体育改革创新深化、体育发展活力激发方面充分发挥了单位能动作用。具体如下：</w:t>
      </w:r>
    </w:p>
    <w:p w:rsidR="00265915" w:rsidRDefault="00D23F2A">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color w:val="000000" w:themeColor="text1"/>
          <w:sz w:val="32"/>
          <w:szCs w:val="32"/>
        </w:rPr>
        <w:t>竞技体育综合实力增强。东京奥运会、陕西全运会取得优异成绩。在全省体育系统的共同努力和紧密协作下，东京奥运会我省有16名运动员参加举重、羽毛球、田径、游泳（花样游泳、水球）、赛艇、皮划艇、摔跤等7个大项15个小项的比赛，获得了2金5银3铜，金牌数排名全国第十，奖牌数排名全国第八；陕西全运会我省有345名运动员参加竞技类比赛25个大项172个小项的比赛，获得了25金13银9铜，金牌榜位列全国第八，创我省参加全运会以来历史最好成绩，继续保持中西部地区领先地位。</w:t>
      </w:r>
    </w:p>
    <w:p w:rsidR="00265915" w:rsidRDefault="00D23F2A">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color w:val="000000" w:themeColor="text1"/>
          <w:sz w:val="32"/>
          <w:szCs w:val="32"/>
        </w:rPr>
        <w:t>全面落实全民健身国家战略，群众体育蓬勃发展。一是加大场地设施供给。完成1000套全民健身路径建设，为全省40个原国家扶贫县（市）配备96个街道（乡镇）多功能运动场健身器材。长沙、</w:t>
      </w:r>
      <w:proofErr w:type="gramStart"/>
      <w:r>
        <w:rPr>
          <w:rFonts w:ascii="仿宋_GB2312" w:eastAsia="仿宋_GB2312" w:hAnsi="仿宋_GB2312" w:cs="仿宋_GB2312" w:hint="eastAsia"/>
          <w:color w:val="000000" w:themeColor="text1"/>
          <w:sz w:val="32"/>
          <w:szCs w:val="32"/>
        </w:rPr>
        <w:t>株洲均</w:t>
      </w:r>
      <w:proofErr w:type="gramEnd"/>
      <w:r>
        <w:rPr>
          <w:rFonts w:ascii="仿宋_GB2312" w:eastAsia="仿宋_GB2312" w:hAnsi="仿宋_GB2312" w:cs="仿宋_GB2312" w:hint="eastAsia"/>
          <w:color w:val="000000" w:themeColor="text1"/>
          <w:sz w:val="32"/>
          <w:szCs w:val="32"/>
        </w:rPr>
        <w:t>将“智慧社区健身中心”建设列入重点民生实事项目，整合社会力量着力打造城市社区“5分钟健身圈”。二是全民健身活动有序开展。湖南省第二届社区趣味运动会、薪火传承·中国</w:t>
      </w:r>
      <w:proofErr w:type="gramStart"/>
      <w:r>
        <w:rPr>
          <w:rFonts w:ascii="仿宋_GB2312" w:eastAsia="仿宋_GB2312" w:hAnsi="仿宋_GB2312" w:cs="仿宋_GB2312" w:hint="eastAsia"/>
          <w:color w:val="000000" w:themeColor="text1"/>
          <w:sz w:val="32"/>
          <w:szCs w:val="32"/>
        </w:rPr>
        <w:t>健康跑</w:t>
      </w:r>
      <w:proofErr w:type="gramEnd"/>
      <w:r>
        <w:rPr>
          <w:rFonts w:ascii="仿宋_GB2312" w:eastAsia="仿宋_GB2312" w:hAnsi="仿宋_GB2312" w:cs="仿宋_GB2312" w:hint="eastAsia"/>
          <w:color w:val="000000" w:themeColor="text1"/>
          <w:sz w:val="32"/>
          <w:szCs w:val="32"/>
        </w:rPr>
        <w:t>等线下品牌活动有序发挥全民健身引领作用。在全国首创“健康湖南·云动潇湘”湖南省首届体育“云”动会，开展项目53个，直接参赛人数超过25万，全</w:t>
      </w:r>
      <w:proofErr w:type="gramStart"/>
      <w:r>
        <w:rPr>
          <w:rFonts w:ascii="仿宋_GB2312" w:eastAsia="仿宋_GB2312" w:hAnsi="仿宋_GB2312" w:cs="仿宋_GB2312" w:hint="eastAsia"/>
          <w:color w:val="000000" w:themeColor="text1"/>
          <w:sz w:val="32"/>
          <w:szCs w:val="32"/>
        </w:rPr>
        <w:t>网关注超7亿人次</w:t>
      </w:r>
      <w:proofErr w:type="gramEnd"/>
      <w:r>
        <w:rPr>
          <w:rFonts w:ascii="仿宋_GB2312" w:eastAsia="仿宋_GB2312" w:hAnsi="仿宋_GB2312" w:cs="仿宋_GB2312" w:hint="eastAsia"/>
          <w:color w:val="000000" w:themeColor="text1"/>
          <w:sz w:val="32"/>
          <w:szCs w:val="32"/>
        </w:rPr>
        <w:t>。三是群众科学健身水平进一步提高。不断加大科学健身推广普及力度，全年举办9期一级社会体育指导员培训班，培训600余人次；广泛开展“湖南省国民体质监测三湘健康行”活动，在对全省各个年龄层次的人群进行体质监测的同时，积极宣讲科学健身，指导建立健康的生活模式。在第十四届全国运动会群众比赛中，经过选拔产生的950名运动员参加了18个项目的比</w:t>
      </w:r>
      <w:r>
        <w:rPr>
          <w:rFonts w:ascii="仿宋_GB2312" w:eastAsia="仿宋_GB2312" w:hAnsi="仿宋_GB2312" w:cs="仿宋_GB2312" w:hint="eastAsia"/>
          <w:color w:val="000000" w:themeColor="text1"/>
          <w:sz w:val="32"/>
          <w:szCs w:val="32"/>
        </w:rPr>
        <w:lastRenderedPageBreak/>
        <w:t>赛和展演，在乒乓球、羽毛球、足球、龙舟等项目比赛中获得2金5银3铜的优异成绩，充分展示了我省群众体育工作成效和全民健身运动发展的蓬勃生机与活力。</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color w:val="000000" w:themeColor="text1"/>
          <w:sz w:val="32"/>
          <w:szCs w:val="32"/>
        </w:rPr>
        <w:t>青少年体育发展水平全面提升。组织14名市县体校校长、43名体育教师、80余</w:t>
      </w:r>
      <w:proofErr w:type="gramStart"/>
      <w:r>
        <w:rPr>
          <w:rFonts w:ascii="仿宋_GB2312" w:eastAsia="仿宋_GB2312" w:hAnsi="仿宋_GB2312" w:cs="仿宋_GB2312" w:hint="eastAsia"/>
          <w:color w:val="000000" w:themeColor="text1"/>
          <w:sz w:val="32"/>
          <w:szCs w:val="32"/>
        </w:rPr>
        <w:t>家俱</w:t>
      </w:r>
      <w:proofErr w:type="gramEnd"/>
      <w:r>
        <w:rPr>
          <w:rFonts w:ascii="仿宋_GB2312" w:eastAsia="仿宋_GB2312" w:hAnsi="仿宋_GB2312" w:cs="仿宋_GB2312" w:hint="eastAsia"/>
          <w:color w:val="000000" w:themeColor="text1"/>
          <w:sz w:val="32"/>
          <w:szCs w:val="32"/>
        </w:rPr>
        <w:t>乐部管理人员、110名教练员参加全国各类专业培训，全面提升了我省业余训练整体水平；创新开展青少年体育活动。以列入全国“体教融合”青少年健身科普试点省份为契机，突出地域特色和特色项目，开展涵盖健身科普、运动技能培训、体质检测、支教助学、体育冬夏令营以及各类儿童青少年线上体育活动等的一系列青少年体育活动。“红心向党·匠心育人”青少年航空航天模型主题教育活动和航模比赛，“北斗杯”智慧跑、定向跑，冰上欧洲训练营，“把爱带回家”寒假儿童关爱服务活动、</w:t>
      </w:r>
      <w:proofErr w:type="gramStart"/>
      <w:r>
        <w:rPr>
          <w:rFonts w:ascii="仿宋_GB2312" w:eastAsia="仿宋_GB2312" w:hAnsi="仿宋_GB2312" w:cs="仿宋_GB2312" w:hint="eastAsia"/>
          <w:color w:val="000000" w:themeColor="text1"/>
          <w:sz w:val="32"/>
          <w:szCs w:val="32"/>
        </w:rPr>
        <w:t>走娃少儿健走大赛</w:t>
      </w:r>
      <w:proofErr w:type="gramEnd"/>
      <w:r>
        <w:rPr>
          <w:rFonts w:ascii="仿宋_GB2312" w:eastAsia="仿宋_GB2312" w:hAnsi="仿宋_GB2312" w:cs="仿宋_GB2312" w:hint="eastAsia"/>
          <w:color w:val="000000" w:themeColor="text1"/>
          <w:sz w:val="32"/>
          <w:szCs w:val="32"/>
        </w:rPr>
        <w:t>等融合了科技、冰雪、公益等元素的活动深受全省青少年喜爱。</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color w:val="000000" w:themeColor="text1"/>
          <w:sz w:val="32"/>
          <w:szCs w:val="32"/>
        </w:rPr>
        <w:t>体育产业发展稳步向前。一是体育产业规模和质量持续提升。疫情防控常态化背景下，全省体育产业发展化“危”为“机”，抓住“宅经济”“云经济”崛起的机遇，调结构、转模式，加速体育产业信息化升级。二是“体育+”融合发展不断深化。张家界加快发展体育旅游项目，使以旅游业为支撑的经济社会发展能够在疫情后得以较好恢复。武陵</w:t>
      </w:r>
      <w:proofErr w:type="gramStart"/>
      <w:r>
        <w:rPr>
          <w:rFonts w:ascii="仿宋_GB2312" w:eastAsia="仿宋_GB2312" w:hAnsi="仿宋_GB2312" w:cs="仿宋_GB2312" w:hint="eastAsia"/>
          <w:color w:val="000000" w:themeColor="text1"/>
          <w:sz w:val="32"/>
          <w:szCs w:val="32"/>
        </w:rPr>
        <w:t>源核心</w:t>
      </w:r>
      <w:proofErr w:type="gramEnd"/>
      <w:r>
        <w:rPr>
          <w:rFonts w:ascii="仿宋_GB2312" w:eastAsia="仿宋_GB2312" w:hAnsi="仿宋_GB2312" w:cs="仿宋_GB2312" w:hint="eastAsia"/>
          <w:color w:val="000000" w:themeColor="text1"/>
          <w:sz w:val="32"/>
          <w:szCs w:val="32"/>
        </w:rPr>
        <w:t>景区被国家体育总局、文旅部认定为“国家体育旅游示范基地”。长沙创新举办首届体育消费节，直接拉动体育消费超千万元。长沙县“乐运魔方”获评“全国体育事业突出贡献奖”。长沙望城区、岳阳平江县、株洲荷塘区入选首批“全国县域足球典型县”。三是体育产业基地示范效应逐步显现。临湘市钓具产业发展迅速，全产业链条生产总值突破30亿元，就业超3万人，全国浮标产销市场份额占到80%以上，有望成为湖南省第一个国家级</w:t>
      </w:r>
      <w:r>
        <w:rPr>
          <w:rFonts w:ascii="仿宋_GB2312" w:eastAsia="仿宋_GB2312" w:hAnsi="仿宋_GB2312" w:cs="仿宋_GB2312" w:hint="eastAsia"/>
          <w:color w:val="000000" w:themeColor="text1"/>
          <w:sz w:val="32"/>
          <w:szCs w:val="32"/>
        </w:rPr>
        <w:lastRenderedPageBreak/>
        <w:t>体育产业示范基地。湖南优冠、亚光科技被评为“国家体育产业示范单位”。我省自主</w:t>
      </w:r>
      <w:proofErr w:type="gramStart"/>
      <w:r>
        <w:rPr>
          <w:rFonts w:ascii="仿宋_GB2312" w:eastAsia="仿宋_GB2312" w:hAnsi="仿宋_GB2312" w:cs="仿宋_GB2312" w:hint="eastAsia"/>
          <w:color w:val="000000" w:themeColor="text1"/>
          <w:sz w:val="32"/>
          <w:szCs w:val="32"/>
        </w:rPr>
        <w:t>品牌茵浪体育</w:t>
      </w:r>
      <w:proofErr w:type="gramEnd"/>
      <w:r>
        <w:rPr>
          <w:rFonts w:ascii="仿宋_GB2312" w:eastAsia="仿宋_GB2312" w:hAnsi="仿宋_GB2312" w:cs="仿宋_GB2312" w:hint="eastAsia"/>
          <w:color w:val="000000" w:themeColor="text1"/>
          <w:sz w:val="32"/>
          <w:szCs w:val="32"/>
        </w:rPr>
        <w:t>产值大幅增长。四是体育彩票保持稳定发展。2021年全省体育彩票累计销售58.26亿元，同比增长59.05%。</w:t>
      </w:r>
    </w:p>
    <w:p w:rsidR="00265915" w:rsidRDefault="00D23F2A">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color w:val="000000" w:themeColor="text1"/>
          <w:sz w:val="32"/>
          <w:szCs w:val="32"/>
        </w:rPr>
        <w:t>体育法治文化宣传工作展现新的作为。一是多层次推进依法行政。在全省范围内深入开展赛事活动专项整治，组织各市（州）体育部门在旅游景区开展经营高危险性体育项目安全隐患排查整治、冰雪运动场所安全监督检查。持续实施“四减一拓”（减审批时限、减审批环节、</w:t>
      </w:r>
      <w:proofErr w:type="gramStart"/>
      <w:r>
        <w:rPr>
          <w:rFonts w:ascii="仿宋_GB2312" w:eastAsia="仿宋_GB2312" w:hAnsi="仿宋_GB2312" w:cs="仿宋_GB2312" w:hint="eastAsia"/>
          <w:color w:val="000000" w:themeColor="text1"/>
          <w:sz w:val="32"/>
          <w:szCs w:val="32"/>
        </w:rPr>
        <w:t>减申请</w:t>
      </w:r>
      <w:proofErr w:type="gramEnd"/>
      <w:r>
        <w:rPr>
          <w:rFonts w:ascii="仿宋_GB2312" w:eastAsia="仿宋_GB2312" w:hAnsi="仿宋_GB2312" w:cs="仿宋_GB2312" w:hint="eastAsia"/>
          <w:color w:val="000000" w:themeColor="text1"/>
          <w:sz w:val="32"/>
          <w:szCs w:val="32"/>
        </w:rPr>
        <w:t>材料、减来回跑动，拓宽办理渠道），取消3项备案，70％的行政审批事项涉及的证明事项实行了告知承诺制。二是以庆祝建党100周年为主线，以奥运会、全运会备战参赛为重点开展体育文化宣传，促进中华体育精神和体育湘军精神向社会广泛辐射。与省内主流媒体紧密合作，充分利用“网、报、端、微、视、屏”等现代传播体系，及时、生动、全面报道奥运全运盛况，多视角挖掘湖湘健儿奖牌背后的体育现象和文化，讲好湖南体育故事。以“传承体育湘军精神，勇担时代使命”为主题，联合省教育厅组织开展的体育湘军宣讲团“四进”（进校园、进企业、进园区、进社区）活动以及“庆祝中国女排首夺世界冠军40周年”系列宣传活动取得圆满成功，进一步掀起了传承女排精神和体育湘军精神的热潮。三是全面推进体育文化新发展。编撰出版《体育湘军东京奥运之旅》等画册，支持发行《女排精神》和拍摄电影《红领巾飘飘》。积极做好“纪录小康工程”体育篇章，升级改造“湖南体育陈列室”，全方位展示湖南体育发展历史。</w:t>
      </w:r>
    </w:p>
    <w:p w:rsidR="00265915" w:rsidRDefault="00D23F2A">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color w:val="000000" w:themeColor="text1"/>
          <w:sz w:val="32"/>
          <w:szCs w:val="32"/>
        </w:rPr>
        <w:t>积极主动推进信息公开，积极回应群众关切。2021年发布政务动态信息近932条，回应公众关注热点数量50次，向全社会公开征集意见调查期2期，</w:t>
      </w:r>
      <w:proofErr w:type="gramStart"/>
      <w:r>
        <w:rPr>
          <w:rFonts w:ascii="仿宋_GB2312" w:eastAsia="仿宋_GB2312" w:hAnsi="仿宋_GB2312" w:cs="仿宋_GB2312" w:hint="eastAsia"/>
          <w:color w:val="000000" w:themeColor="text1"/>
          <w:sz w:val="32"/>
          <w:szCs w:val="32"/>
        </w:rPr>
        <w:t>官网信访</w:t>
      </w:r>
      <w:proofErr w:type="gramEnd"/>
      <w:r>
        <w:rPr>
          <w:rFonts w:ascii="仿宋_GB2312" w:eastAsia="仿宋_GB2312" w:hAnsi="仿宋_GB2312" w:cs="仿宋_GB2312" w:hint="eastAsia"/>
          <w:color w:val="000000" w:themeColor="text1"/>
          <w:sz w:val="32"/>
          <w:szCs w:val="32"/>
        </w:rPr>
        <w:t>邮箱共收到297条公众信息，其中有效来信178条，均在规定时限内回复。</w:t>
      </w:r>
    </w:p>
    <w:p w:rsidR="00265915" w:rsidRDefault="00D23F2A">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7</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color w:val="000000" w:themeColor="text1"/>
          <w:sz w:val="32"/>
          <w:szCs w:val="32"/>
        </w:rPr>
        <w:t>受益群体满意度较高。</w:t>
      </w:r>
      <w:proofErr w:type="gramStart"/>
      <w:r>
        <w:rPr>
          <w:rFonts w:ascii="仿宋_GB2312" w:eastAsia="仿宋_GB2312" w:hAnsi="仿宋_GB2312" w:cs="仿宋_GB2312" w:hint="eastAsia"/>
          <w:color w:val="000000" w:themeColor="text1"/>
          <w:sz w:val="32"/>
          <w:szCs w:val="32"/>
        </w:rPr>
        <w:t>我部门</w:t>
      </w:r>
      <w:proofErr w:type="gramEnd"/>
      <w:r>
        <w:rPr>
          <w:rFonts w:ascii="仿宋_GB2312" w:eastAsia="仿宋_GB2312" w:hAnsi="仿宋_GB2312" w:cs="仿宋_GB2312" w:hint="eastAsia"/>
          <w:color w:val="000000" w:themeColor="text1"/>
          <w:sz w:val="32"/>
          <w:szCs w:val="32"/>
        </w:rPr>
        <w:t>共发放回收调查问卷4,520份，调查对象覆盖运动员、教练员、单位工作人员、场馆使用群体、赛事活动参赛人员，通过对回收的有效调查问卷进行统计，受益群体满意度达95%。</w:t>
      </w:r>
    </w:p>
    <w:p w:rsidR="00265915" w:rsidRDefault="00D23F2A">
      <w:pPr>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五、存在的问题及原因分析</w:t>
      </w:r>
    </w:p>
    <w:p w:rsidR="00265915" w:rsidRDefault="00D23F2A">
      <w:pPr>
        <w:pStyle w:val="a3"/>
        <w:spacing w:after="0"/>
        <w:ind w:firstLineChars="200" w:firstLine="640"/>
        <w:outlineLvl w:val="2"/>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（一）绩效目标和指标设定不够精细，预算绩效管理理念有待加强</w:t>
      </w:r>
    </w:p>
    <w:p w:rsidR="00265915" w:rsidRDefault="00D23F2A">
      <w:pPr>
        <w:pStyle w:val="a3"/>
        <w:spacing w:after="0"/>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一是绩效目标和绩效指标的设定工作未切实开展。即年初预算编制时，未按照预算要求，组织各业务处室、各预算单位进行整体支出、项目支出绩效目标和绩效指标的设定和上报审批工作，未严格按照财政要求，从预算管理的源头，将绩效管理理念切实贯彻到预算编制过程中。二是对绩效管理工作的宣讲和指导力度不够，部分业务处室、预算单位未正确理解绩效目标和指标的设定要求和方法，导致上报的绩效目标比较笼统宏观，绩效指标设定不够科学合理，细化和量化不够，不利于项目绩效的考核评价。</w:t>
      </w:r>
    </w:p>
    <w:p w:rsidR="00265915" w:rsidRDefault="00D23F2A">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color w:val="000000"/>
          <w:kern w:val="2"/>
          <w:sz w:val="32"/>
          <w:szCs w:val="32"/>
        </w:rPr>
      </w:pPr>
      <w:r>
        <w:rPr>
          <w:rFonts w:ascii="楷体_GB2312" w:eastAsia="楷体_GB2312" w:hAnsi="楷体_GB2312" w:cs="楷体_GB2312" w:hint="eastAsia"/>
          <w:color w:val="000000"/>
          <w:kern w:val="2"/>
          <w:sz w:val="32"/>
          <w:szCs w:val="32"/>
        </w:rPr>
        <w:t>（二）部分转移支付资金未到位或到位不及时</w:t>
      </w:r>
    </w:p>
    <w:p w:rsidR="00265915" w:rsidRDefault="00D23F2A">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部分转移支付资金滞留市县财政，拨付时间较晚或未拨付至项目实施单位，长时间滞留在项目相关地方财政账户，未能发挥专项资金的时效。2021年度公共体育场馆</w:t>
      </w:r>
      <w:proofErr w:type="gramStart"/>
      <w:r>
        <w:rPr>
          <w:rFonts w:ascii="仿宋_GB2312" w:eastAsia="仿宋_GB2312" w:hAnsi="仿宋_GB2312" w:cs="仿宋_GB2312" w:hint="eastAsia"/>
          <w:sz w:val="32"/>
          <w:szCs w:val="32"/>
        </w:rPr>
        <w:t>免费低</w:t>
      </w:r>
      <w:proofErr w:type="gramEnd"/>
      <w:r>
        <w:rPr>
          <w:rFonts w:ascii="仿宋_GB2312" w:eastAsia="仿宋_GB2312" w:hAnsi="仿宋_GB2312" w:cs="仿宋_GB2312" w:hint="eastAsia"/>
          <w:sz w:val="32"/>
          <w:szCs w:val="32"/>
        </w:rPr>
        <w:t>收费补助资金有231万资金拨付时间推迟近一年，有932.80万元资金被地方财政截留。</w:t>
      </w:r>
    </w:p>
    <w:p w:rsidR="00265915" w:rsidRDefault="00D23F2A">
      <w:pPr>
        <w:pStyle w:val="a8"/>
        <w:widowControl w:val="0"/>
        <w:shd w:val="clear" w:color="auto" w:fill="FFFFFF"/>
        <w:spacing w:before="0" w:beforeAutospacing="0" w:after="0" w:afterAutospacing="0"/>
        <w:ind w:firstLineChars="200" w:firstLine="640"/>
        <w:jc w:val="both"/>
        <w:rPr>
          <w:rFonts w:ascii="楷体_GB2312" w:eastAsia="楷体_GB2312" w:hAnsi="楷体_GB2312" w:cs="楷体_GB2312"/>
          <w:color w:val="000000"/>
          <w:kern w:val="2"/>
          <w:sz w:val="32"/>
          <w:szCs w:val="32"/>
        </w:rPr>
      </w:pPr>
      <w:r>
        <w:rPr>
          <w:rFonts w:ascii="楷体_GB2312" w:eastAsia="楷体_GB2312" w:hAnsi="楷体_GB2312" w:cs="楷体_GB2312" w:hint="eastAsia"/>
          <w:color w:val="000000"/>
          <w:kern w:val="2"/>
          <w:sz w:val="32"/>
          <w:szCs w:val="32"/>
        </w:rPr>
        <w:t>（三）个别单位工程项目未提前编制工程量清单，概算依据不足</w:t>
      </w:r>
    </w:p>
    <w:p w:rsidR="00265915" w:rsidRDefault="00D23F2A">
      <w:pPr>
        <w:ind w:firstLineChars="200" w:firstLine="640"/>
        <w:outlineLvl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工程项目概算是资金安排和使用的依据，是项目支出的最高限额。个别单位预算金额在50万以上的</w:t>
      </w:r>
      <w:proofErr w:type="gramStart"/>
      <w:r>
        <w:rPr>
          <w:rFonts w:ascii="仿宋_GB2312" w:eastAsia="仿宋_GB2312" w:hAnsi="仿宋_GB2312" w:cs="仿宋_GB2312" w:hint="eastAsia"/>
          <w:color w:val="000000" w:themeColor="text1"/>
          <w:sz w:val="32"/>
          <w:szCs w:val="32"/>
        </w:rPr>
        <w:t>的</w:t>
      </w:r>
      <w:proofErr w:type="gramEnd"/>
      <w:r>
        <w:rPr>
          <w:rFonts w:ascii="仿宋_GB2312" w:eastAsia="仿宋_GB2312" w:hAnsi="仿宋_GB2312" w:cs="仿宋_GB2312" w:hint="eastAsia"/>
          <w:color w:val="000000" w:themeColor="text1"/>
          <w:sz w:val="32"/>
          <w:szCs w:val="32"/>
        </w:rPr>
        <w:t>装修工程项目，未提前编制依据充分的工程</w:t>
      </w:r>
      <w:proofErr w:type="gramStart"/>
      <w:r>
        <w:rPr>
          <w:rFonts w:ascii="仿宋_GB2312" w:eastAsia="仿宋_GB2312" w:hAnsi="仿宋_GB2312" w:cs="仿宋_GB2312" w:hint="eastAsia"/>
          <w:color w:val="000000" w:themeColor="text1"/>
          <w:sz w:val="32"/>
          <w:szCs w:val="32"/>
        </w:rPr>
        <w:t>量预算</w:t>
      </w:r>
      <w:proofErr w:type="gramEnd"/>
      <w:r>
        <w:rPr>
          <w:rFonts w:ascii="仿宋_GB2312" w:eastAsia="仿宋_GB2312" w:hAnsi="仿宋_GB2312" w:cs="仿宋_GB2312" w:hint="eastAsia"/>
          <w:color w:val="000000" w:themeColor="text1"/>
          <w:sz w:val="32"/>
          <w:szCs w:val="32"/>
        </w:rPr>
        <w:t>清单，项目执行时，只是邀请三家有意向的供应商去现场测量工程量再报价选取最低价。</w:t>
      </w:r>
    </w:p>
    <w:p w:rsidR="00265915" w:rsidRDefault="00D23F2A">
      <w:pPr>
        <w:ind w:firstLineChars="200" w:firstLine="640"/>
        <w:outlineLvl w:val="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（四）固定资产标签管理不规范，未定期盘点固定资产，账实不符</w:t>
      </w:r>
    </w:p>
    <w:p w:rsidR="00265915" w:rsidRDefault="00D23F2A">
      <w:pPr>
        <w:ind w:firstLineChars="200" w:firstLine="640"/>
        <w:outlineLvl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由于人员配置、部门分工等因素，大部分二级单位没有做到定期对固</w:t>
      </w:r>
      <w:r>
        <w:rPr>
          <w:rFonts w:ascii="仿宋_GB2312" w:eastAsia="仿宋_GB2312" w:hAnsi="仿宋_GB2312" w:cs="仿宋_GB2312" w:hint="eastAsia"/>
          <w:color w:val="000000" w:themeColor="text1"/>
          <w:sz w:val="32"/>
          <w:szCs w:val="32"/>
        </w:rPr>
        <w:lastRenderedPageBreak/>
        <w:t>定资产清查盘点，出现账面反映的固定资产与实物不符的现象；固定资产毁损、报废时，未按规定进行账务处理；标签管理不规范，未对固定资产粘贴唯一标签，固定资产清查系统中卡片要素不全，未登记资产品牌、规格型号、生产厂家、发票号，</w:t>
      </w:r>
      <w:proofErr w:type="gramStart"/>
      <w:r>
        <w:rPr>
          <w:rFonts w:ascii="仿宋_GB2312" w:eastAsia="仿宋_GB2312" w:hAnsi="仿宋_GB2312" w:cs="仿宋_GB2312" w:hint="eastAsia"/>
          <w:color w:val="000000" w:themeColor="text1"/>
          <w:sz w:val="32"/>
          <w:szCs w:val="32"/>
        </w:rPr>
        <w:t>若资产</w:t>
      </w:r>
      <w:proofErr w:type="gramEnd"/>
      <w:r>
        <w:rPr>
          <w:rFonts w:ascii="仿宋_GB2312" w:eastAsia="仿宋_GB2312" w:hAnsi="仿宋_GB2312" w:cs="仿宋_GB2312" w:hint="eastAsia"/>
          <w:color w:val="000000" w:themeColor="text1"/>
          <w:sz w:val="32"/>
          <w:szCs w:val="32"/>
        </w:rPr>
        <w:t>管理人员变动，容易造成资产使用状况，管理困难。</w:t>
      </w:r>
    </w:p>
    <w:p w:rsidR="00265915" w:rsidRDefault="00D23F2A">
      <w:pPr>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六、下一步改进措施</w:t>
      </w:r>
    </w:p>
    <w:p w:rsidR="00265915" w:rsidRDefault="00D23F2A">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bookmarkStart w:id="4" w:name="_Toc71830730"/>
      <w:r>
        <w:rPr>
          <w:rFonts w:ascii="仿宋_GB2312" w:eastAsia="仿宋_GB2312" w:hAnsi="仿宋_GB2312" w:cs="仿宋_GB2312" w:hint="eastAsia"/>
          <w:color w:val="000000"/>
          <w:kern w:val="2"/>
          <w:sz w:val="32"/>
          <w:szCs w:val="32"/>
        </w:rPr>
        <w:t>（一）进一步加强局内部机构各处室及各二级预算单位的预算</w:t>
      </w:r>
      <w:r>
        <w:rPr>
          <w:rFonts w:ascii="仿宋_GB2312" w:eastAsia="仿宋_GB2312" w:hAnsi="仿宋_GB2312" w:cs="仿宋_GB2312" w:hint="eastAsia"/>
          <w:sz w:val="32"/>
          <w:szCs w:val="32"/>
        </w:rPr>
        <w:t>绩效管理意识，年初编制部门预算时，要求各二级单位根据部门职责及年度工作任务情况，按照财政部门规定，规范的设置绩效目标及相应的绩效指标，确保绩效目标及指标完整且可量化考核；加强对工作人员绩效评价知识的培训，聘请绩效评价领域中的权威专家授课，安排与绩效管理评价有关的理论知识和实际操作考核，让全部参与绩效评价的工作人员充分认识绩效评价在单位管理工作中的重要性、掌握绩效评价体系和标准，提升财政资金使用效率。</w:t>
      </w:r>
      <w:bookmarkEnd w:id="4"/>
    </w:p>
    <w:p w:rsidR="00265915" w:rsidRDefault="00D23F2A">
      <w:pPr>
        <w:tabs>
          <w:tab w:val="left" w:pos="1418"/>
        </w:tabs>
        <w:autoSpaceDE w:val="0"/>
        <w:autoSpaceDN w:val="0"/>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（二）加强对各市州、县市区专项资金的监督、检查，并积极督促资金补助单位与主管部门或辖区财政部门核对专项资金，确保专项资金及时到位，避免因资金到位不及时而影响项目绩效。</w:t>
      </w:r>
    </w:p>
    <w:p w:rsidR="00265915" w:rsidRDefault="00D23F2A">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三）加强工程项目内控管理，建立健全相关项目制度管理，加强监督管理，对金额稍大的装修、维修等工程项目，建议聘请有相应资质的中介机构编制工程量清单，并以此作为预算依据，以做到概算控制预算，预算控制决算。</w:t>
      </w:r>
    </w:p>
    <w:p w:rsidR="00265915" w:rsidRDefault="00D23F2A">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四）加强固定资产管理，定期组织固定资产盘点，结合条形码技术，赋予每个实物一张唯一的条码资产标签，对固定资产实物进行全程跟踪管理。对发现的账实不符､盘盈､盘亏的固定资产及时处理。账实核对，按</w:t>
      </w:r>
      <w:r>
        <w:rPr>
          <w:rFonts w:ascii="仿宋_GB2312" w:eastAsia="仿宋_GB2312" w:hAnsi="仿宋_GB2312" w:cs="仿宋_GB2312" w:hint="eastAsia"/>
          <w:sz w:val="32"/>
          <w:szCs w:val="32"/>
        </w:rPr>
        <w:lastRenderedPageBreak/>
        <w:t>程序报废核销固定资产，防止国有资产流失，保障国有资产的安全、完整。</w:t>
      </w:r>
    </w:p>
    <w:p w:rsidR="00265915" w:rsidRDefault="00D23F2A">
      <w:pPr>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七、绩效自评结果拟应用和公开情况</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结果将作为下年度财政资金安排的重要依据，对绩效优良的，在下年度安排预算时给予优先考虑；对绩效一般的，在下年度安排预算时要从紧考虑；对绩效差劣的要进行通报批评，对资金使用管理过程中出现的违规违纪行为，根据国家有关规定进行查处。</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根据《中华人民共和国政府信息公开条例》和湖南省部门预、决算和部门绩效等公开工作的整体部署，本绩效自评报告将于规定的时间内在</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门户网站上进行公示，接受社会的监督。</w:t>
      </w:r>
    </w:p>
    <w:p w:rsidR="00265915" w:rsidRDefault="00D23F2A">
      <w:pPr>
        <w:ind w:firstLineChars="200" w:firstLine="640"/>
        <w:outlineLvl w:val="0"/>
        <w:rPr>
          <w:rFonts w:ascii="黑体" w:eastAsia="黑体" w:hAnsi="黑体" w:cs="黑体"/>
          <w:bCs/>
          <w:sz w:val="32"/>
          <w:szCs w:val="32"/>
        </w:rPr>
      </w:pPr>
      <w:r>
        <w:rPr>
          <w:rFonts w:ascii="黑体" w:eastAsia="黑体" w:hAnsi="黑体" w:cs="黑体" w:hint="eastAsia"/>
          <w:bCs/>
          <w:sz w:val="32"/>
          <w:szCs w:val="32"/>
        </w:rPr>
        <w:t>八、其他需要说明的情况</w:t>
      </w:r>
    </w:p>
    <w:p w:rsidR="00265915" w:rsidRDefault="00D23F2A">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（一）关于部分资金结转结余的说明</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结余主要原因：一是因湖南省财政厅未在年底下达奖金分配文件，导致部分奖金未发放结余；二是湖南贺龙体育馆、省游泳运动管理中心、省体育局装备服务中心非税短收；三是省田径运动管理中心伙食补助费结余。</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支出结转结余主要原因：1.受疫情影响，很多活动无法正常开展或延迟开展。如：湖南省体育局本级第二届“健康湖南”全民运动会项目455.31万元，奔跑吧少年主题健身活动经费190万元，“薪火传承·中国健康跑系列赛”168.08万元，“走红军走过的路”徒步穿越系列活动149.11万元，中国户外健身休闲大会（六站）活动147.90万元，2021年湖南省青少年足球俱乐部联赛经费余100万元，湖南郴州体育训练基地公共服务体系建设奖励资金72.37万元；2.因跨年项目尚未完工，按进度付款；或尚未</w:t>
      </w:r>
      <w:proofErr w:type="gramStart"/>
      <w:r>
        <w:rPr>
          <w:rFonts w:ascii="仿宋_GB2312" w:eastAsia="仿宋_GB2312" w:hAnsi="仿宋_GB2312" w:cs="仿宋_GB2312" w:hint="eastAsia"/>
          <w:sz w:val="32"/>
          <w:szCs w:val="32"/>
        </w:rPr>
        <w:t>进行财评结算</w:t>
      </w:r>
      <w:proofErr w:type="gramEnd"/>
      <w:r>
        <w:rPr>
          <w:rFonts w:ascii="仿宋_GB2312" w:eastAsia="仿宋_GB2312" w:hAnsi="仿宋_GB2312" w:cs="仿宋_GB2312" w:hint="eastAsia"/>
          <w:sz w:val="32"/>
          <w:szCs w:val="32"/>
        </w:rPr>
        <w:t>，仍有部分尾款未支付。如：湖南省网球足球运动管理中心足球二期建设项目288.01万元，省级体彩公益金（足球二期）204.89</w:t>
      </w:r>
      <w:r>
        <w:rPr>
          <w:rFonts w:ascii="仿宋_GB2312" w:eastAsia="仿宋_GB2312" w:hAnsi="仿宋_GB2312" w:cs="仿宋_GB2312" w:hint="eastAsia"/>
          <w:sz w:val="32"/>
          <w:szCs w:val="32"/>
        </w:rPr>
        <w:lastRenderedPageBreak/>
        <w:t>万元；湖南体育职业学院学生宿舍11号栋维修改造工程和运动员宿舍外环境改造工程200万元，优秀运动员公寓建设项目139.61万元；湖南郴州体育训练基地新建运动综合大楼及附属配套设施工程113.67万元，湖南贺龙体育馆室外网管改造工程100.00万元；3.项目属于消防安全重点监管项目，所涉及的审批部门较多，手续复杂，如：湖南省航空运动管理中心大浦机场加油站建设项目336.65万元；4.资金下达时间较晚，未及时安排使用，如：湖南体育职业学院高职院校生均</w:t>
      </w:r>
      <w:proofErr w:type="gramStart"/>
      <w:r>
        <w:rPr>
          <w:rFonts w:ascii="仿宋_GB2312" w:eastAsia="仿宋_GB2312" w:hAnsi="仿宋_GB2312" w:cs="仿宋_GB2312" w:hint="eastAsia"/>
          <w:sz w:val="32"/>
          <w:szCs w:val="32"/>
        </w:rPr>
        <w:t>拨款奖补</w:t>
      </w:r>
      <w:proofErr w:type="gramEnd"/>
      <w:r>
        <w:rPr>
          <w:rFonts w:ascii="仿宋_GB2312" w:eastAsia="仿宋_GB2312" w:hAnsi="仿宋_GB2312" w:cs="仿宋_GB2312" w:hint="eastAsia"/>
          <w:sz w:val="32"/>
          <w:szCs w:val="32"/>
        </w:rPr>
        <w:t>199.80万元；5.因建设方案要求明确特色专业群三年项目滚动计划，项目正处于建设中，如：高校“双一流”建设专项资金284.48万元。</w:t>
      </w:r>
    </w:p>
    <w:p w:rsidR="00265915" w:rsidRDefault="00D23F2A">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（二）关于政府购买服务相关情况说明</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全年组织政府购买服务项目59个，采购金额5,107.39万元。采购范围涉及审计服务、工程咨询管理服务、物业管理服务、体育服务等方面。其中通过公开招标、竞争性谈判等政府采购方式采购的16个，成交金额为3,739.64万元，付款金额1,999.83万元；通过湖南省政府采购电子卖场平台竞价采购的43个，成交金额1,367.75万元，付款金额1,258.56万元。</w:t>
      </w:r>
    </w:p>
    <w:p w:rsidR="00265915" w:rsidRDefault="00D23F2A">
      <w:pPr>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政府采购服务项目所需资金均列入部门年度预算，在测算所需资金时，依据相关行业标准，综合物价、工资、税费等因素，合理测算，并于每季度在</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门户网站上公开采购意向，公开要素包括采购需求概况、预算金额、预计采购时间等。</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际采购时，严格按照《湖南省政府采购管理办法》和《湖南省政府购买服务管理实施办法》等文件要求，限额以上的采购项目，均通过了公开招标或者竞争性磋商。限额以下的，通过湖南省政府采购电子卖场平台竞价采购。未存在拆分项目规避公开招标采购，政府采购价格明显高于市</w:t>
      </w:r>
      <w:r>
        <w:rPr>
          <w:rFonts w:ascii="仿宋_GB2312" w:eastAsia="仿宋_GB2312" w:hAnsi="仿宋_GB2312" w:cs="仿宋_GB2312" w:hint="eastAsia"/>
          <w:sz w:val="32"/>
          <w:szCs w:val="32"/>
        </w:rPr>
        <w:lastRenderedPageBreak/>
        <w:t>场价格的情形。</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限额标准以上的购买服务项目，制定了明确合理的服务绩效目标，服务数量、质量、质保措施、违约责任等。承接主体提供了详实的服务方案包括提供服务项目管理、数量标准、质量管理、保障措施等。签订的购买服务合同内容规范、合理、公平，并在服务合同中约定绩效考核内容和相关指标。资金拨付按照合同约定执行，无提前拨付、超额拨付等违规现象。对于限额标准以上的部分大型赛事活动，委托第三方中介机构对</w:t>
      </w:r>
      <w:proofErr w:type="gramStart"/>
      <w:r>
        <w:rPr>
          <w:rFonts w:ascii="仿宋_GB2312" w:eastAsia="仿宋_GB2312" w:hAnsi="仿宋_GB2312" w:cs="仿宋_GB2312" w:hint="eastAsia"/>
          <w:sz w:val="32"/>
          <w:szCs w:val="32"/>
        </w:rPr>
        <w:t>赛事全</w:t>
      </w:r>
      <w:proofErr w:type="gramEnd"/>
      <w:r>
        <w:rPr>
          <w:rFonts w:ascii="仿宋_GB2312" w:eastAsia="仿宋_GB2312" w:hAnsi="仿宋_GB2312" w:cs="仿宋_GB2312" w:hint="eastAsia"/>
          <w:sz w:val="32"/>
          <w:szCs w:val="32"/>
        </w:rPr>
        <w:t>过程进行监督，对项目质量效益以及该赛事活动项目承办主体的运营服务进行绩效评价。</w:t>
      </w:r>
    </w:p>
    <w:p w:rsidR="00265915" w:rsidRDefault="00D23F2A">
      <w:pPr>
        <w:tabs>
          <w:tab w:val="left" w:pos="1276"/>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因受疫情影响，部分赛事活动集中至12月开展，部分尚未开展，导致此部分结余资金1,125.01万元。</w:t>
      </w:r>
    </w:p>
    <w:p w:rsidR="00265915" w:rsidRDefault="00265915">
      <w:pPr>
        <w:ind w:firstLineChars="200" w:firstLine="640"/>
        <w:rPr>
          <w:rFonts w:ascii="仿宋_GB2312" w:eastAsia="仿宋_GB2312" w:hAnsi="仿宋_GB2312" w:cs="仿宋_GB2312"/>
          <w:sz w:val="32"/>
          <w:szCs w:val="32"/>
        </w:rPr>
      </w:pP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2021年度部门整体支出绩效评价基础数据表</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2021年度部门整体支出绩效自评表</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2021年度项目支出绩效自评表</w:t>
      </w:r>
    </w:p>
    <w:p w:rsidR="00265915" w:rsidRDefault="00D23F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r>
        <w:rPr>
          <w:rFonts w:ascii="仿宋_GB2312" w:eastAsia="仿宋_GB2312" w:hAnsi="Times New Roman" w:cs="Times New Roman" w:hint="eastAsia"/>
          <w:sz w:val="32"/>
          <w:szCs w:val="32"/>
          <w:lang w:bidi="ar"/>
        </w:rPr>
        <w:t>．</w:t>
      </w:r>
      <w:r>
        <w:rPr>
          <w:rFonts w:ascii="仿宋_GB2312" w:eastAsia="仿宋_GB2312" w:hAnsi="仿宋_GB2312" w:cs="仿宋_GB2312" w:hint="eastAsia"/>
          <w:sz w:val="32"/>
          <w:szCs w:val="32"/>
        </w:rPr>
        <w:t>2021年度转移支付项目清单</w:t>
      </w:r>
    </w:p>
    <w:p w:rsidR="00265915" w:rsidRDefault="00265915">
      <w:pPr>
        <w:ind w:firstLineChars="200" w:firstLine="640"/>
        <w:rPr>
          <w:rFonts w:ascii="仿宋_GB2312" w:eastAsia="仿宋_GB2312" w:hAnsi="仿宋_GB2312" w:cs="仿宋_GB2312"/>
          <w:sz w:val="32"/>
          <w:szCs w:val="32"/>
        </w:rPr>
      </w:pPr>
    </w:p>
    <w:p w:rsidR="00265915" w:rsidRDefault="00265915">
      <w:pPr>
        <w:ind w:firstLineChars="200" w:firstLine="640"/>
        <w:rPr>
          <w:rFonts w:ascii="仿宋_GB2312" w:eastAsia="仿宋_GB2312" w:hAnsi="仿宋_GB2312" w:cs="仿宋_GB2312"/>
          <w:sz w:val="32"/>
          <w:szCs w:val="32"/>
        </w:rPr>
      </w:pPr>
    </w:p>
    <w:sectPr w:rsidR="00265915">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E1FE"/>
    <w:multiLevelType w:val="singleLevel"/>
    <w:tmpl w:val="1A97E1FE"/>
    <w:lvl w:ilvl="0">
      <w:start w:val="2"/>
      <w:numFmt w:val="chineseCounting"/>
      <w:suff w:val="nothing"/>
      <w:lvlText w:val="（%1）"/>
      <w:lvlJc w:val="left"/>
      <w:rPr>
        <w:rFonts w:hint="eastAsia"/>
      </w:rPr>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65915"/>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150F8"/>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23F2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33753"/>
    <w:rsid w:val="017C06FD"/>
    <w:rsid w:val="01A50B61"/>
    <w:rsid w:val="02A9706C"/>
    <w:rsid w:val="03EA1CC0"/>
    <w:rsid w:val="04492E99"/>
    <w:rsid w:val="04970FB1"/>
    <w:rsid w:val="052F58AF"/>
    <w:rsid w:val="0543327B"/>
    <w:rsid w:val="05B21526"/>
    <w:rsid w:val="05EA47C1"/>
    <w:rsid w:val="061A0343"/>
    <w:rsid w:val="098E2DEE"/>
    <w:rsid w:val="09A54680"/>
    <w:rsid w:val="09BA04C3"/>
    <w:rsid w:val="0B3A4DFF"/>
    <w:rsid w:val="0BDA68AA"/>
    <w:rsid w:val="0C0A532A"/>
    <w:rsid w:val="0D5711D9"/>
    <w:rsid w:val="0D8955F6"/>
    <w:rsid w:val="0E5A28DA"/>
    <w:rsid w:val="0EEB2672"/>
    <w:rsid w:val="10473190"/>
    <w:rsid w:val="10AA486A"/>
    <w:rsid w:val="11284C61"/>
    <w:rsid w:val="11D9397D"/>
    <w:rsid w:val="11F3733C"/>
    <w:rsid w:val="136B2768"/>
    <w:rsid w:val="140B4796"/>
    <w:rsid w:val="146B7844"/>
    <w:rsid w:val="160718DD"/>
    <w:rsid w:val="1639149F"/>
    <w:rsid w:val="16A469D8"/>
    <w:rsid w:val="16A57C97"/>
    <w:rsid w:val="175E6CAD"/>
    <w:rsid w:val="182E22A3"/>
    <w:rsid w:val="194B1C3E"/>
    <w:rsid w:val="1A273627"/>
    <w:rsid w:val="1A602497"/>
    <w:rsid w:val="1BEC7E0B"/>
    <w:rsid w:val="1C402FC1"/>
    <w:rsid w:val="1C4B3FFB"/>
    <w:rsid w:val="1D9802DB"/>
    <w:rsid w:val="1DD2472C"/>
    <w:rsid w:val="1E113103"/>
    <w:rsid w:val="1E6E15D4"/>
    <w:rsid w:val="1E70719D"/>
    <w:rsid w:val="1EC520F2"/>
    <w:rsid w:val="1F1B246F"/>
    <w:rsid w:val="1FEA6B1D"/>
    <w:rsid w:val="200B3B0A"/>
    <w:rsid w:val="21861376"/>
    <w:rsid w:val="24452F35"/>
    <w:rsid w:val="2481304A"/>
    <w:rsid w:val="24A71BA2"/>
    <w:rsid w:val="26214CEE"/>
    <w:rsid w:val="26611356"/>
    <w:rsid w:val="266B289A"/>
    <w:rsid w:val="268E0047"/>
    <w:rsid w:val="26C919B3"/>
    <w:rsid w:val="26F64074"/>
    <w:rsid w:val="28106DED"/>
    <w:rsid w:val="28433D3B"/>
    <w:rsid w:val="28664567"/>
    <w:rsid w:val="293B1A96"/>
    <w:rsid w:val="2A727902"/>
    <w:rsid w:val="2A9A7539"/>
    <w:rsid w:val="2AB172C3"/>
    <w:rsid w:val="2BA455D8"/>
    <w:rsid w:val="2D8E7A5F"/>
    <w:rsid w:val="2DA354EC"/>
    <w:rsid w:val="2E1B728B"/>
    <w:rsid w:val="2F1E0D53"/>
    <w:rsid w:val="2F504645"/>
    <w:rsid w:val="2FB35F09"/>
    <w:rsid w:val="313553C8"/>
    <w:rsid w:val="31660695"/>
    <w:rsid w:val="32A24E6A"/>
    <w:rsid w:val="334358B0"/>
    <w:rsid w:val="33C109B1"/>
    <w:rsid w:val="345D1FDC"/>
    <w:rsid w:val="34F3275C"/>
    <w:rsid w:val="35961843"/>
    <w:rsid w:val="36953850"/>
    <w:rsid w:val="36F30579"/>
    <w:rsid w:val="37F130AB"/>
    <w:rsid w:val="384E70C5"/>
    <w:rsid w:val="387140E2"/>
    <w:rsid w:val="39E30CB2"/>
    <w:rsid w:val="3A022E00"/>
    <w:rsid w:val="3AE54317"/>
    <w:rsid w:val="3B897752"/>
    <w:rsid w:val="3BB53BD8"/>
    <w:rsid w:val="3BD37231"/>
    <w:rsid w:val="3C027200"/>
    <w:rsid w:val="3C6A36FF"/>
    <w:rsid w:val="3D090A2D"/>
    <w:rsid w:val="3DC9719C"/>
    <w:rsid w:val="3E222341"/>
    <w:rsid w:val="3E252B4D"/>
    <w:rsid w:val="3E5E78FE"/>
    <w:rsid w:val="3ECE0A5B"/>
    <w:rsid w:val="3F330CC2"/>
    <w:rsid w:val="3FB574D3"/>
    <w:rsid w:val="401429DF"/>
    <w:rsid w:val="40521D91"/>
    <w:rsid w:val="405E2E5A"/>
    <w:rsid w:val="43175BA1"/>
    <w:rsid w:val="45100ADA"/>
    <w:rsid w:val="451E7907"/>
    <w:rsid w:val="45581498"/>
    <w:rsid w:val="464C5581"/>
    <w:rsid w:val="478D47EF"/>
    <w:rsid w:val="483B1495"/>
    <w:rsid w:val="4844030D"/>
    <w:rsid w:val="49AA08CF"/>
    <w:rsid w:val="49F44EDE"/>
    <w:rsid w:val="4A233BB4"/>
    <w:rsid w:val="4AD800D1"/>
    <w:rsid w:val="4C5420F3"/>
    <w:rsid w:val="4C6F61E9"/>
    <w:rsid w:val="4CE3382E"/>
    <w:rsid w:val="4D801367"/>
    <w:rsid w:val="4F0F00A8"/>
    <w:rsid w:val="4F1132E5"/>
    <w:rsid w:val="4FAF78CE"/>
    <w:rsid w:val="50680339"/>
    <w:rsid w:val="50C06827"/>
    <w:rsid w:val="510607F2"/>
    <w:rsid w:val="52097FE3"/>
    <w:rsid w:val="53F24443"/>
    <w:rsid w:val="55C91E0E"/>
    <w:rsid w:val="564042A6"/>
    <w:rsid w:val="572771A0"/>
    <w:rsid w:val="5815229B"/>
    <w:rsid w:val="59A96DF5"/>
    <w:rsid w:val="59F36984"/>
    <w:rsid w:val="5A1F1133"/>
    <w:rsid w:val="5A3D6DFF"/>
    <w:rsid w:val="5AD859CB"/>
    <w:rsid w:val="5B0D7EDE"/>
    <w:rsid w:val="5C6B3AE2"/>
    <w:rsid w:val="5C8A5E1D"/>
    <w:rsid w:val="5D524B74"/>
    <w:rsid w:val="5D7169FD"/>
    <w:rsid w:val="5DA2479E"/>
    <w:rsid w:val="5E533152"/>
    <w:rsid w:val="5FB9262E"/>
    <w:rsid w:val="601D60BB"/>
    <w:rsid w:val="605F41E5"/>
    <w:rsid w:val="616D3FEB"/>
    <w:rsid w:val="62C91D3D"/>
    <w:rsid w:val="64D16554"/>
    <w:rsid w:val="65097DF3"/>
    <w:rsid w:val="65CF7598"/>
    <w:rsid w:val="65DA43A7"/>
    <w:rsid w:val="66590C0D"/>
    <w:rsid w:val="66701789"/>
    <w:rsid w:val="66A62DF7"/>
    <w:rsid w:val="66FB249C"/>
    <w:rsid w:val="67672BC6"/>
    <w:rsid w:val="68C87D96"/>
    <w:rsid w:val="69E05D24"/>
    <w:rsid w:val="6A1C30CC"/>
    <w:rsid w:val="6AB352E1"/>
    <w:rsid w:val="6B3810E0"/>
    <w:rsid w:val="6E7B5C8F"/>
    <w:rsid w:val="6FE94893"/>
    <w:rsid w:val="70254ECC"/>
    <w:rsid w:val="70E041AA"/>
    <w:rsid w:val="70FF2413"/>
    <w:rsid w:val="71D8717F"/>
    <w:rsid w:val="72084DFD"/>
    <w:rsid w:val="735B1D2C"/>
    <w:rsid w:val="738251BA"/>
    <w:rsid w:val="756A0401"/>
    <w:rsid w:val="75907746"/>
    <w:rsid w:val="75985B91"/>
    <w:rsid w:val="767F14E1"/>
    <w:rsid w:val="76B00863"/>
    <w:rsid w:val="782E39BA"/>
    <w:rsid w:val="783D34ED"/>
    <w:rsid w:val="784038FC"/>
    <w:rsid w:val="78846190"/>
    <w:rsid w:val="78D46AC8"/>
    <w:rsid w:val="78FB2ABB"/>
    <w:rsid w:val="796C7C55"/>
    <w:rsid w:val="79722BB5"/>
    <w:rsid w:val="7D5B0BA7"/>
    <w:rsid w:val="7E6E626B"/>
    <w:rsid w:val="7EF375AD"/>
    <w:rsid w:val="7F4D0DD5"/>
    <w:rsid w:val="7F676E38"/>
    <w:rsid w:val="7F8B714F"/>
    <w:rsid w:val="7FB8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Body Text Indent"/>
    <w:basedOn w:val="a"/>
    <w:uiPriority w:val="99"/>
    <w:unhideWhenUsed/>
    <w:qFormat/>
    <w:pPr>
      <w:tabs>
        <w:tab w:val="left" w:pos="2160"/>
      </w:tabs>
      <w:spacing w:line="620" w:lineRule="exact"/>
      <w:ind w:firstLineChars="200" w:firstLine="640"/>
    </w:pPr>
    <w:rPr>
      <w:rFonts w:ascii="仿宋_GB2312" w:eastAsia="仿宋_GB2312" w:hAnsi="Times New Roman"/>
      <w:snapToGrid w:val="0"/>
      <w:color w:val="FF0000"/>
      <w:kern w:val="0"/>
      <w:sz w:val="32"/>
      <w:szCs w:val="24"/>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5"/>
    <w:uiPriority w:val="99"/>
    <w:semiHidden/>
    <w:qFormat/>
    <w:rPr>
      <w:sz w:val="18"/>
      <w:szCs w:val="18"/>
    </w:rPr>
  </w:style>
  <w:style w:type="paragraph" w:customStyle="1" w:styleId="10">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Body Text Indent"/>
    <w:basedOn w:val="a"/>
    <w:uiPriority w:val="99"/>
    <w:unhideWhenUsed/>
    <w:qFormat/>
    <w:pPr>
      <w:tabs>
        <w:tab w:val="left" w:pos="2160"/>
      </w:tabs>
      <w:spacing w:line="620" w:lineRule="exact"/>
      <w:ind w:firstLineChars="200" w:firstLine="640"/>
    </w:pPr>
    <w:rPr>
      <w:rFonts w:ascii="仿宋_GB2312" w:eastAsia="仿宋_GB2312" w:hAnsi="Times New Roman"/>
      <w:snapToGrid w:val="0"/>
      <w:color w:val="FF0000"/>
      <w:kern w:val="0"/>
      <w:sz w:val="32"/>
      <w:szCs w:val="24"/>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5"/>
    <w:uiPriority w:val="99"/>
    <w:semiHidden/>
    <w:qFormat/>
    <w:rPr>
      <w:sz w:val="18"/>
      <w:szCs w:val="18"/>
    </w:rPr>
  </w:style>
  <w:style w:type="paragraph" w:customStyle="1" w:styleId="10">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8DAF80-02A2-4B5D-A587-9E7BE3EC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6062</Words>
  <Characters>34556</Characters>
  <Application>Microsoft Office Word</Application>
  <DocSecurity>0</DocSecurity>
  <Lines>287</Lines>
  <Paragraphs>81</Paragraphs>
  <ScaleCrop>false</ScaleCrop>
  <Company>Microsoft</Company>
  <LinksUpToDate>false</LinksUpToDate>
  <CharactersWithSpaces>40537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xenon-chen</cp:lastModifiedBy>
  <cp:revision>69</cp:revision>
  <cp:lastPrinted>2022-09-06T07:20:00Z</cp:lastPrinted>
  <dcterms:created xsi:type="dcterms:W3CDTF">2020-07-02T02:32:00Z</dcterms:created>
  <dcterms:modified xsi:type="dcterms:W3CDTF">2024-11-27T01:38:00Z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