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rPr>
          <w:rFonts w:hint="eastAsia" w:ascii="黑体" w:hAnsi="黑体" w:eastAsia="黑体" w:cs="宋体"/>
          <w:kern w:val="0"/>
          <w:sz w:val="32"/>
          <w:szCs w:val="32"/>
          <w:lang w:val="en-US" w:eastAsia="zh-CN"/>
        </w:rPr>
      </w:pPr>
      <w:bookmarkStart w:id="0" w:name="_GoBack"/>
      <w:bookmarkEnd w:id="0"/>
      <w:r>
        <w:rPr>
          <w:rFonts w:hint="eastAsia" w:ascii="黑体" w:hAnsi="黑体" w:eastAsia="黑体" w:cs="宋体"/>
          <w:kern w:val="0"/>
          <w:sz w:val="32"/>
          <w:szCs w:val="32"/>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eastAsia="zh-CN"/>
        </w:rPr>
        <w:t>湖南省体育局2026</w:t>
      </w:r>
      <w:r>
        <w:rPr>
          <w:rFonts w:hint="eastAsia" w:ascii="方正小标宋简体" w:hAnsi="Times New Roman" w:eastAsia="方正小标宋简体" w:cs="Times New Roman"/>
          <w:sz w:val="44"/>
          <w:szCs w:val="44"/>
        </w:rPr>
        <w:t>年</w:t>
      </w:r>
      <w:r>
        <w:rPr>
          <w:rFonts w:hint="eastAsia" w:ascii="方正小标宋简体" w:hAnsi="Times New Roman" w:eastAsia="方正小标宋简体" w:cs="Times New Roman"/>
          <w:sz w:val="44"/>
          <w:szCs w:val="44"/>
          <w:lang w:eastAsia="zh-CN"/>
        </w:rPr>
        <w:t>第一季</w:t>
      </w:r>
      <w:r>
        <w:rPr>
          <w:rFonts w:hint="eastAsia" w:ascii="方正小标宋简体" w:hAnsi="Times New Roman" w:eastAsia="方正小标宋简体" w:cs="Times New Roman"/>
          <w:sz w:val="44"/>
          <w:szCs w:val="44"/>
        </w:rPr>
        <w:t>度政府采购意向</w:t>
      </w:r>
    </w:p>
    <w:p>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sz w:val="21"/>
          <w:szCs w:val="21"/>
        </w:rPr>
      </w:pPr>
    </w:p>
    <w:p>
      <w:pPr>
        <w:pStyle w:val="6"/>
        <w:keepNext w:val="0"/>
        <w:keepLines w:val="0"/>
        <w:pageBreakBefore w:val="0"/>
        <w:widowControl w:val="0"/>
        <w:kinsoku/>
        <w:wordWrap/>
        <w:overflowPunct/>
        <w:topLinePunct w:val="0"/>
        <w:autoSpaceDE/>
        <w:autoSpaceDN/>
        <w:bidi w:val="0"/>
        <w:adjustRightInd/>
        <w:snapToGrid/>
        <w:spacing w:after="0" w:line="240" w:lineRule="auto"/>
        <w:jc w:val="righ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单位：万元</w:t>
      </w:r>
    </w:p>
    <w:tbl>
      <w:tblPr>
        <w:tblStyle w:val="12"/>
        <w:tblW w:w="10154"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1991"/>
        <w:gridCol w:w="4369"/>
        <w:gridCol w:w="1086"/>
        <w:gridCol w:w="1067"/>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sz w:val="24"/>
                <w:szCs w:val="24"/>
                <w:u w:val="none"/>
                <w:lang w:eastAsia="zh-CN"/>
              </w:rPr>
            </w:pPr>
            <w:r>
              <w:rPr>
                <w:rFonts w:hint="eastAsia" w:ascii="仿宋_GB2312" w:hAnsi="宋体" w:eastAsia="仿宋_GB2312" w:cs="仿宋_GB2312"/>
                <w:b/>
                <w:bCs/>
                <w:i w:val="0"/>
                <w:iCs w:val="0"/>
                <w:color w:val="333333"/>
                <w:sz w:val="24"/>
                <w:szCs w:val="24"/>
                <w:u w:val="none"/>
                <w:lang w:eastAsia="zh-CN"/>
              </w:rPr>
              <w:t>序号</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sz w:val="24"/>
                <w:szCs w:val="24"/>
                <w:u w:val="none"/>
              </w:rPr>
            </w:pPr>
            <w:r>
              <w:rPr>
                <w:rFonts w:hint="eastAsia" w:ascii="仿宋_GB2312" w:hAnsi="宋体" w:eastAsia="仿宋_GB2312" w:cs="仿宋_GB2312"/>
                <w:b/>
                <w:bCs/>
                <w:i w:val="0"/>
                <w:iCs w:val="0"/>
                <w:color w:val="333333"/>
                <w:kern w:val="0"/>
                <w:sz w:val="24"/>
                <w:szCs w:val="24"/>
                <w:u w:val="none"/>
                <w:lang w:val="en-US" w:eastAsia="zh-CN" w:bidi="ar"/>
              </w:rPr>
              <w:t>项目名称</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sz w:val="24"/>
                <w:szCs w:val="24"/>
                <w:u w:val="none"/>
              </w:rPr>
            </w:pPr>
            <w:r>
              <w:rPr>
                <w:rFonts w:hint="eastAsia" w:ascii="仿宋_GB2312" w:hAnsi="宋体" w:eastAsia="仿宋_GB2312" w:cs="仿宋_GB2312"/>
                <w:b/>
                <w:bCs/>
                <w:i w:val="0"/>
                <w:iCs w:val="0"/>
                <w:color w:val="333333"/>
                <w:kern w:val="0"/>
                <w:sz w:val="24"/>
                <w:szCs w:val="24"/>
                <w:u w:val="none"/>
                <w:lang w:val="en-US" w:eastAsia="zh-CN" w:bidi="ar"/>
              </w:rPr>
              <w:t>采购需求概况</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kern w:val="0"/>
                <w:sz w:val="24"/>
                <w:szCs w:val="24"/>
                <w:u w:val="none"/>
                <w:lang w:val="en-US" w:eastAsia="zh-CN" w:bidi="ar"/>
              </w:rPr>
            </w:pPr>
            <w:r>
              <w:rPr>
                <w:rFonts w:hint="eastAsia" w:ascii="仿宋_GB2312" w:hAnsi="宋体" w:eastAsia="仿宋_GB2312" w:cs="仿宋_GB2312"/>
                <w:b/>
                <w:bCs/>
                <w:i w:val="0"/>
                <w:iCs w:val="0"/>
                <w:color w:val="333333"/>
                <w:kern w:val="0"/>
                <w:sz w:val="24"/>
                <w:szCs w:val="24"/>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sz w:val="24"/>
                <w:szCs w:val="24"/>
                <w:u w:val="none"/>
              </w:rPr>
            </w:pPr>
            <w:r>
              <w:rPr>
                <w:rFonts w:hint="eastAsia" w:ascii="仿宋_GB2312" w:hAnsi="宋体" w:eastAsia="仿宋_GB2312" w:cs="仿宋_GB2312"/>
                <w:b/>
                <w:bCs/>
                <w:i w:val="0"/>
                <w:iCs w:val="0"/>
                <w:color w:val="333333"/>
                <w:kern w:val="0"/>
                <w:sz w:val="24"/>
                <w:szCs w:val="24"/>
                <w:u w:val="none"/>
                <w:lang w:val="en-US" w:eastAsia="zh-CN" w:bidi="ar"/>
              </w:rPr>
              <w:t>金额</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sz w:val="24"/>
                <w:szCs w:val="24"/>
                <w:u w:val="none"/>
              </w:rPr>
            </w:pPr>
            <w:r>
              <w:rPr>
                <w:rFonts w:hint="eastAsia" w:ascii="仿宋_GB2312" w:hAnsi="宋体" w:eastAsia="仿宋_GB2312" w:cs="仿宋_GB2312"/>
                <w:b/>
                <w:bCs/>
                <w:i w:val="0"/>
                <w:iCs w:val="0"/>
                <w:color w:val="333333"/>
                <w:kern w:val="0"/>
                <w:sz w:val="24"/>
                <w:szCs w:val="24"/>
                <w:u w:val="none"/>
                <w:lang w:val="en-US" w:eastAsia="zh-CN" w:bidi="ar"/>
              </w:rPr>
              <w:t>预计采购时间</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sz w:val="24"/>
                <w:szCs w:val="24"/>
                <w:u w:val="none"/>
              </w:rPr>
            </w:pPr>
            <w:r>
              <w:rPr>
                <w:rFonts w:hint="eastAsia" w:ascii="仿宋_GB2312" w:hAnsi="宋体" w:eastAsia="仿宋_GB2312" w:cs="仿宋_GB2312"/>
                <w:b/>
                <w:bCs/>
                <w:i w:val="0"/>
                <w:iCs w:val="0"/>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textAlignment w:val="cente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t>湖南省体育局2026年全国“奔跑吧·少年”儿童青少年主题健身活动（湖南站）项目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湖南省体育局拟定在全省举办2026年全国“奔跑吧•少年”儿童青少年主题健身活动（湖南站）。此活动贯穿全年，以“奔跑吧·少年”为主题，结合我省特色项目、特色文化，深化体教融合而开展。本项目中的“奔跑吧•少年”儿童青少年主题特色活动组织、活动统计及数据报送、宣传推广等内容须于2026年11月30日前全部完成。具体情况以招标文件为准。请各意向单位留意相关信息。</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415</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3月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textAlignment w:val="cente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t>湖南省体育产业、体育场地及体育事业调查统计项目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0F1115"/>
                <w:spacing w:val="0"/>
                <w:sz w:val="24"/>
                <w:szCs w:val="24"/>
                <w:shd w:val="clear" w:color="auto" w:fill="FFFFFF"/>
              </w:rPr>
              <w:t>本次调查统计工作旨在系统掌握我省体育事业发展状况，建立长效监测机制。服务内容包括：一、为2025年全省体育产业、场地及事业调查提供全流程技术指导，涵盖培训、实地指导、数据审核与核算，核算结果由省体育局与省统计局联合发布；二、每季度末报送体育产业监测数据（含总产值及规上企业数据）；三、开展2026年体育场地专项统计；四、对14个地市及所辖县市区调查工作实施全程监督指导；五、统一审核汇总各地市数据并上报国家体育总局。</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105</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3月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textAlignment w:val="cente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t>全国青少年三大球运动会（篮球项目）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中华人民共和国青少年三大球运动会是由国家体育总局主办的全国性青少年体育赛事。篮球项目作为三大球之一，设男子U18组和女子U18组两个竞赛组别，分为资格赛和决赛两个阶段进行。本项目将面向全省选拔出一批符合比赛年龄要求的优秀篮球后备人才，组织U18男、女2支篮球队伍进行集训，并代表湖南参加预赛，力争进入决赛，取得优异成绩。</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sz w:val="24"/>
                <w:szCs w:val="24"/>
                <w:u w:val="none"/>
                <w:lang w:val="en-US" w:eastAsia="zh-CN"/>
              </w:rPr>
              <w:t>133.67</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3月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6"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4</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both"/>
              <w:textAlignment w:val="cente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t>全国青少年三大球运动会（排球项目）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widowControl w:val="0"/>
              <w:numPr>
                <w:ilvl w:val="0"/>
                <w:numId w:val="0"/>
              </w:numPr>
              <w:spacing w:line="320" w:lineRule="exact"/>
              <w:ind w:left="0" w:leftChars="0" w:firstLine="0" w:firstLineChars="0"/>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全力保障我省排球项目男女队参加全国第三届青少年三大球运动会，做好男女队赛前训练、备战、集训、体能测试、参赛工作。其中集训周期不少于1个月，集训保障团队不少于5人，力争完成我省排球项目参加三大球运动会目标任务。</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124.64</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3月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5</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textAlignment w:val="cente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t>全国青少年三大球运动会（足球项目）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作为我国青少年足球重要赛事，全国三大球运动会分男子U18、U16组，女子U18组，由各省、自治区、直辖市代表队参赛。比赛采用赛会制进行，将竞技体育与后备人才培养相结合，具有较高的竞技水平和观赏性，极大促进青少年足球运动在全国的普及与提高，为我国培养一批青少年足球后备人才，同时也增强了人民群众对足球运动的关注与喜爱。具体情况以招标文件为准。请各意向单位留意相关信息。</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124.94</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3月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6</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2026年“国球进社区进公园”器材配置项目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依据《住房和城乡建设部办公厅 体育总局办公厅关于开展“国球进社区”“国球进公园”活动进一步推动群众身边健身设施建设的通知》（建办城〔2023〕24号）的要求，为进一步加强群众身边健身设施建设，丰富群众健身活动空间，推动在城市社区、公园中配建以乒乓球台等小型设施为重点的健身设施。每个场地包含室外乒乓球台2张、运动悬浮地板65㎡。 2026年我省需完成小型乒乓球运动场地建设数量不少于272个。</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t>273.11</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6月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7</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2026年全民健身设施器材配置项目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本项目主要是为省直各单位对口援建的乡村振兴点和部分单位配建运动健身场所体育设施器材而设置的项目，所旨在提升广大职工群众的运动健身体验，丰富人民群众文化业余生活。通过公开招标的方式向社会寻求供应商，要求供应商须将设施器材安全运输到各安装点，并承担8年维保期内的巡检、维修等服务。拟采购健身路径器材30套，农体器材10套，及室内健身器材和网球、羽毛球等运动设施器材不少于200件。</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t>217</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6月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8</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2026年智能室外健身器材</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本项目为贯彻落实《湖南省全民健身实施计划（2021—2025年）》及体育总局2026年工作安排而设置，旨在打造智能健身场景，促进全民健身智慧化发展。本项目拟采购虚拟竞速骑行设施，将通过公开招标的方式向社会寻求供应商，要求供应商须将设施器材安全运输到全省各指定安装点进行专业安装，并承担8年维保期内的巡检、维修等服务。拟配建二代室外智能健身器材不少于50件、虚拟竞速骑行设施不少于4套。</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t>165.25</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6月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9</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2026年全民健身室外设施器材更新</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 xml:space="preserve">室外健身路径器材，是在社区室外安装固定、供人们进行健身运动锻炼的器材和设施。现执行国家标准为：GB19272-2024，器材安全使用年限为8年。2026年拟采购路径器材1000套（每套“6+1”共7件器材），主要用于城市空闲地、边角地、公园绿地以及住宅小区等场所的体育器材配套。 </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t>892.5</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6月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省体育局及直属单位法律顾问服务项目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为全面落实法治政府建设、推进政府法律顾问工作常态化要求，为局机关及18家直属单位采购2026年12月-2029年5月期间（共计30个月）的法律顾问服务。服务内容包括但不限于合同和采购文件审查、法律咨询、普法服务和其他非诉类涉法事务处理，局系统法律风险防范。服务频率，按服务单位需求及时提供，但需每周固定坐班。本项目总预算158万元，包含律师费及顾问律师履行职务的必要开支，包括但不限于交通、通信、文印、差旅、服务团队人工工资等。</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158</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6月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11</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第六届“女排魂·中国梦”气排球湖湘行系列活动</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女排魂·中国梦”气排球湖湘行系列活动是由国家体育总局排球运动管理中心指导，湖南省体育局主办的一档红色主题IP赛事活动。是全国性红色教育+体育+旅游的主题活动，将传承红色文化与气排球相结合，旨在号召参与气排球活动，树立“不忘初心、健康第一”的红色体育运动理念，在全社会营造浓厚的红色体育文化氛围。2026年将继续举办本次活动，进一步激发广大群众体育锻炼热情，以健康的体魄和良好的精神风貌投入到全面建设社会主义现代化新湖南中。</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80</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4月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bl>
    <w:p>
      <w:pPr>
        <w:pStyle w:val="6"/>
        <w:keepNext w:val="0"/>
        <w:keepLines w:val="0"/>
        <w:pageBreakBefore w:val="0"/>
        <w:widowControl w:val="0"/>
        <w:kinsoku/>
        <w:wordWrap/>
        <w:overflowPunct/>
        <w:topLinePunct w:val="0"/>
        <w:autoSpaceDE/>
        <w:autoSpaceDN/>
        <w:bidi w:val="0"/>
        <w:adjustRightInd/>
        <w:snapToGrid/>
        <w:spacing w:after="0" w:line="20" w:lineRule="exact"/>
        <w:jc w:val="both"/>
        <w:textAlignment w:val="auto"/>
        <w:rPr>
          <w:rFonts w:hint="default" w:ascii="仿宋_GB2312" w:eastAsia="仿宋_GB2312"/>
          <w:szCs w:val="21"/>
          <w:lang w:val="en-US" w:eastAsia="zh-CN"/>
        </w:rPr>
      </w:pPr>
    </w:p>
    <w:sectPr>
      <w:footerReference r:id="rId3" w:type="default"/>
      <w:pgSz w:w="11906" w:h="16838"/>
      <w:pgMar w:top="2041" w:right="1587" w:bottom="1474" w:left="1587" w:header="851" w:footer="1134" w:gutter="0"/>
      <w:paperSrc/>
      <w:cols w:space="720" w:num="1"/>
      <w:titlePg/>
      <w:rtlGutter w:val="0"/>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snapToGrid/>
      <w:ind w:left="210" w:leftChars="100" w:right="210" w:rightChars="100"/>
      <w:rPr>
        <w:rStyle w:val="11"/>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7</w:t>
    </w:r>
    <w:r>
      <w:rPr>
        <w:rFonts w:ascii="宋体" w:hAnsi="宋体"/>
        <w:sz w:val="28"/>
        <w:szCs w:val="28"/>
      </w:rPr>
      <w:fldChar w:fldCharType="end"/>
    </w:r>
    <w:r>
      <w:rPr>
        <w:rStyle w:val="11"/>
        <w:rFonts w:hint="eastAsia" w:ascii="宋体" w:hAnsi="宋体"/>
        <w:sz w:val="28"/>
        <w:szCs w:val="28"/>
      </w:rPr>
      <w:t xml:space="preserve"> —</w:t>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xODJhZTM1ZDAwYjZiNmM5OTMyODBmY2YwNDZjMTkifQ=="/>
    <w:docVar w:name="KSO_WPS_MARK_KEY" w:val="e05c6153-3068-4b63-944d-207dd7fd0e55"/>
  </w:docVars>
  <w:rsids>
    <w:rsidRoot w:val="00FD6B4F"/>
    <w:rsid w:val="00012D92"/>
    <w:rsid w:val="00013473"/>
    <w:rsid w:val="00054FBD"/>
    <w:rsid w:val="0009615F"/>
    <w:rsid w:val="000D5CAB"/>
    <w:rsid w:val="000D7475"/>
    <w:rsid w:val="0010785D"/>
    <w:rsid w:val="00136779"/>
    <w:rsid w:val="00171D20"/>
    <w:rsid w:val="00177092"/>
    <w:rsid w:val="00187D21"/>
    <w:rsid w:val="001A3B40"/>
    <w:rsid w:val="001C6E8C"/>
    <w:rsid w:val="001D418E"/>
    <w:rsid w:val="001D5F2F"/>
    <w:rsid w:val="001E1D5D"/>
    <w:rsid w:val="001E3002"/>
    <w:rsid w:val="0021391D"/>
    <w:rsid w:val="002228B5"/>
    <w:rsid w:val="002569AF"/>
    <w:rsid w:val="00262B7A"/>
    <w:rsid w:val="0028794F"/>
    <w:rsid w:val="00291AD3"/>
    <w:rsid w:val="002B0F90"/>
    <w:rsid w:val="002C02C5"/>
    <w:rsid w:val="002C1F48"/>
    <w:rsid w:val="002D688E"/>
    <w:rsid w:val="002E79CA"/>
    <w:rsid w:val="003128DB"/>
    <w:rsid w:val="0033175C"/>
    <w:rsid w:val="003475F4"/>
    <w:rsid w:val="003551FA"/>
    <w:rsid w:val="0038015A"/>
    <w:rsid w:val="00387B32"/>
    <w:rsid w:val="003A0D93"/>
    <w:rsid w:val="003B46D3"/>
    <w:rsid w:val="003C220C"/>
    <w:rsid w:val="003C4B0F"/>
    <w:rsid w:val="003E7C8A"/>
    <w:rsid w:val="00423AD9"/>
    <w:rsid w:val="00470A87"/>
    <w:rsid w:val="00473A17"/>
    <w:rsid w:val="00496C7A"/>
    <w:rsid w:val="00497317"/>
    <w:rsid w:val="004A329E"/>
    <w:rsid w:val="004B4359"/>
    <w:rsid w:val="004C1678"/>
    <w:rsid w:val="004C170F"/>
    <w:rsid w:val="004C7085"/>
    <w:rsid w:val="004F0C5C"/>
    <w:rsid w:val="00504504"/>
    <w:rsid w:val="00515375"/>
    <w:rsid w:val="005258E8"/>
    <w:rsid w:val="00542CED"/>
    <w:rsid w:val="00576BB0"/>
    <w:rsid w:val="00596203"/>
    <w:rsid w:val="005978E3"/>
    <w:rsid w:val="005A6AE6"/>
    <w:rsid w:val="005D129E"/>
    <w:rsid w:val="005D6B3C"/>
    <w:rsid w:val="005E2118"/>
    <w:rsid w:val="005F34B8"/>
    <w:rsid w:val="005F5D47"/>
    <w:rsid w:val="005F66C0"/>
    <w:rsid w:val="00627A98"/>
    <w:rsid w:val="00634036"/>
    <w:rsid w:val="006410F5"/>
    <w:rsid w:val="00653F52"/>
    <w:rsid w:val="0066397A"/>
    <w:rsid w:val="00676B7F"/>
    <w:rsid w:val="006C09BA"/>
    <w:rsid w:val="006D6B01"/>
    <w:rsid w:val="006D7D2D"/>
    <w:rsid w:val="00704EE5"/>
    <w:rsid w:val="00720BFF"/>
    <w:rsid w:val="00735219"/>
    <w:rsid w:val="00764E55"/>
    <w:rsid w:val="007932CA"/>
    <w:rsid w:val="0079522E"/>
    <w:rsid w:val="007A646F"/>
    <w:rsid w:val="007B4D15"/>
    <w:rsid w:val="007D1ABF"/>
    <w:rsid w:val="007D7C6C"/>
    <w:rsid w:val="00805E40"/>
    <w:rsid w:val="00833250"/>
    <w:rsid w:val="00834984"/>
    <w:rsid w:val="0084011E"/>
    <w:rsid w:val="0084296E"/>
    <w:rsid w:val="00863B16"/>
    <w:rsid w:val="0088122D"/>
    <w:rsid w:val="008A61D6"/>
    <w:rsid w:val="008C7A15"/>
    <w:rsid w:val="00904AD6"/>
    <w:rsid w:val="00967765"/>
    <w:rsid w:val="00972F37"/>
    <w:rsid w:val="00996688"/>
    <w:rsid w:val="009B12CC"/>
    <w:rsid w:val="009C5FAC"/>
    <w:rsid w:val="009D2EBC"/>
    <w:rsid w:val="009D35B2"/>
    <w:rsid w:val="009E3233"/>
    <w:rsid w:val="009F79CD"/>
    <w:rsid w:val="00A20D1D"/>
    <w:rsid w:val="00A25329"/>
    <w:rsid w:val="00A412A4"/>
    <w:rsid w:val="00A44CE7"/>
    <w:rsid w:val="00A474DD"/>
    <w:rsid w:val="00A55115"/>
    <w:rsid w:val="00A6282D"/>
    <w:rsid w:val="00A70CCD"/>
    <w:rsid w:val="00A81389"/>
    <w:rsid w:val="00A81595"/>
    <w:rsid w:val="00AA4F10"/>
    <w:rsid w:val="00AB7E59"/>
    <w:rsid w:val="00AE5111"/>
    <w:rsid w:val="00AF5D65"/>
    <w:rsid w:val="00B631C3"/>
    <w:rsid w:val="00B655C7"/>
    <w:rsid w:val="00B80855"/>
    <w:rsid w:val="00B822FD"/>
    <w:rsid w:val="00B85FA1"/>
    <w:rsid w:val="00B862C0"/>
    <w:rsid w:val="00BB4875"/>
    <w:rsid w:val="00BD100F"/>
    <w:rsid w:val="00BD6D4E"/>
    <w:rsid w:val="00C03D4D"/>
    <w:rsid w:val="00C11778"/>
    <w:rsid w:val="00C1201E"/>
    <w:rsid w:val="00C308E1"/>
    <w:rsid w:val="00C30C47"/>
    <w:rsid w:val="00C41624"/>
    <w:rsid w:val="00C640D9"/>
    <w:rsid w:val="00C713F3"/>
    <w:rsid w:val="00C76F1C"/>
    <w:rsid w:val="00C94535"/>
    <w:rsid w:val="00CA44CB"/>
    <w:rsid w:val="00CF7AA9"/>
    <w:rsid w:val="00D173B4"/>
    <w:rsid w:val="00D26FAF"/>
    <w:rsid w:val="00D34482"/>
    <w:rsid w:val="00D37D35"/>
    <w:rsid w:val="00D4444C"/>
    <w:rsid w:val="00D55E50"/>
    <w:rsid w:val="00D56BB2"/>
    <w:rsid w:val="00D775C9"/>
    <w:rsid w:val="00D82FC5"/>
    <w:rsid w:val="00DA405C"/>
    <w:rsid w:val="00DB3860"/>
    <w:rsid w:val="00DC4A21"/>
    <w:rsid w:val="00DD2BBA"/>
    <w:rsid w:val="00DF2C9D"/>
    <w:rsid w:val="00E0218F"/>
    <w:rsid w:val="00E220AC"/>
    <w:rsid w:val="00E3213A"/>
    <w:rsid w:val="00E34A5C"/>
    <w:rsid w:val="00E3733E"/>
    <w:rsid w:val="00E909B1"/>
    <w:rsid w:val="00EA0D5F"/>
    <w:rsid w:val="00EB7339"/>
    <w:rsid w:val="00EE0159"/>
    <w:rsid w:val="00EE0A0F"/>
    <w:rsid w:val="00F00ED0"/>
    <w:rsid w:val="00F0520E"/>
    <w:rsid w:val="00F07DF6"/>
    <w:rsid w:val="00F365A9"/>
    <w:rsid w:val="00F47F77"/>
    <w:rsid w:val="00F60EFC"/>
    <w:rsid w:val="00F7759D"/>
    <w:rsid w:val="00F84CF0"/>
    <w:rsid w:val="00FD4A39"/>
    <w:rsid w:val="00FD6B4F"/>
    <w:rsid w:val="00FF55D5"/>
    <w:rsid w:val="01496177"/>
    <w:rsid w:val="01680DD1"/>
    <w:rsid w:val="017D14E1"/>
    <w:rsid w:val="020B4D6B"/>
    <w:rsid w:val="020C6479"/>
    <w:rsid w:val="03555906"/>
    <w:rsid w:val="03D60954"/>
    <w:rsid w:val="03D83627"/>
    <w:rsid w:val="04A15406"/>
    <w:rsid w:val="04E25753"/>
    <w:rsid w:val="04F455FA"/>
    <w:rsid w:val="055048E7"/>
    <w:rsid w:val="056C1AEE"/>
    <w:rsid w:val="065472FC"/>
    <w:rsid w:val="065C10F3"/>
    <w:rsid w:val="07482180"/>
    <w:rsid w:val="07E8164C"/>
    <w:rsid w:val="07F66975"/>
    <w:rsid w:val="08EF110C"/>
    <w:rsid w:val="08FF0C6F"/>
    <w:rsid w:val="09087CA3"/>
    <w:rsid w:val="096A7DD2"/>
    <w:rsid w:val="0978617A"/>
    <w:rsid w:val="09A16A21"/>
    <w:rsid w:val="0A271545"/>
    <w:rsid w:val="0A4125AC"/>
    <w:rsid w:val="0A58695F"/>
    <w:rsid w:val="0ABA6A13"/>
    <w:rsid w:val="0AD4326E"/>
    <w:rsid w:val="0AE93E9D"/>
    <w:rsid w:val="0B7B155D"/>
    <w:rsid w:val="0B904E2E"/>
    <w:rsid w:val="0CB863D5"/>
    <w:rsid w:val="0D686E6D"/>
    <w:rsid w:val="0DED72CE"/>
    <w:rsid w:val="0E3E76C1"/>
    <w:rsid w:val="0E686889"/>
    <w:rsid w:val="0EC27456"/>
    <w:rsid w:val="0F4E618A"/>
    <w:rsid w:val="0F536F7B"/>
    <w:rsid w:val="101510AD"/>
    <w:rsid w:val="10594627"/>
    <w:rsid w:val="10F33C50"/>
    <w:rsid w:val="11B80ED6"/>
    <w:rsid w:val="11FF5B3B"/>
    <w:rsid w:val="12837053"/>
    <w:rsid w:val="12B45F43"/>
    <w:rsid w:val="13144764"/>
    <w:rsid w:val="131614ED"/>
    <w:rsid w:val="132A433D"/>
    <w:rsid w:val="135D0CA9"/>
    <w:rsid w:val="135F04C7"/>
    <w:rsid w:val="143C7F04"/>
    <w:rsid w:val="14557279"/>
    <w:rsid w:val="14720515"/>
    <w:rsid w:val="152E5A1E"/>
    <w:rsid w:val="16921052"/>
    <w:rsid w:val="17B42375"/>
    <w:rsid w:val="18C62D1C"/>
    <w:rsid w:val="1ADC6703"/>
    <w:rsid w:val="1C5B7C26"/>
    <w:rsid w:val="1CC81314"/>
    <w:rsid w:val="1D182600"/>
    <w:rsid w:val="1D1F61B6"/>
    <w:rsid w:val="1D2F0A2A"/>
    <w:rsid w:val="1D3B2AE3"/>
    <w:rsid w:val="1DC54856"/>
    <w:rsid w:val="1EF56D81"/>
    <w:rsid w:val="1F3A1C4B"/>
    <w:rsid w:val="1F5D09E3"/>
    <w:rsid w:val="1F89244D"/>
    <w:rsid w:val="1FB7F9AB"/>
    <w:rsid w:val="21552E2E"/>
    <w:rsid w:val="221943D6"/>
    <w:rsid w:val="22561E49"/>
    <w:rsid w:val="22FA7480"/>
    <w:rsid w:val="233777C7"/>
    <w:rsid w:val="235A4832"/>
    <w:rsid w:val="23865CD7"/>
    <w:rsid w:val="23DB15AC"/>
    <w:rsid w:val="24643D11"/>
    <w:rsid w:val="24A152F0"/>
    <w:rsid w:val="257210DB"/>
    <w:rsid w:val="258312E3"/>
    <w:rsid w:val="269F7EDA"/>
    <w:rsid w:val="273E61CC"/>
    <w:rsid w:val="279D11BD"/>
    <w:rsid w:val="28617845"/>
    <w:rsid w:val="28DF7901"/>
    <w:rsid w:val="293E4614"/>
    <w:rsid w:val="295B138E"/>
    <w:rsid w:val="29A73B8B"/>
    <w:rsid w:val="2AA64981"/>
    <w:rsid w:val="2B37590D"/>
    <w:rsid w:val="2B7666AA"/>
    <w:rsid w:val="2B8C2888"/>
    <w:rsid w:val="2C602C01"/>
    <w:rsid w:val="2CC75991"/>
    <w:rsid w:val="2CEF4246"/>
    <w:rsid w:val="2E0E463E"/>
    <w:rsid w:val="2F1E24F5"/>
    <w:rsid w:val="30B47990"/>
    <w:rsid w:val="32630A57"/>
    <w:rsid w:val="327F192F"/>
    <w:rsid w:val="329C7D00"/>
    <w:rsid w:val="32B352EC"/>
    <w:rsid w:val="33CF6A2A"/>
    <w:rsid w:val="36584E1C"/>
    <w:rsid w:val="37770015"/>
    <w:rsid w:val="37F02309"/>
    <w:rsid w:val="37F926D8"/>
    <w:rsid w:val="37FF27BA"/>
    <w:rsid w:val="383C727F"/>
    <w:rsid w:val="384314B6"/>
    <w:rsid w:val="38864177"/>
    <w:rsid w:val="38B17256"/>
    <w:rsid w:val="38B22545"/>
    <w:rsid w:val="394F129B"/>
    <w:rsid w:val="3A033F18"/>
    <w:rsid w:val="3B4D0E9B"/>
    <w:rsid w:val="3D8D4CD3"/>
    <w:rsid w:val="3DBC1E92"/>
    <w:rsid w:val="3DC63909"/>
    <w:rsid w:val="3ECE641A"/>
    <w:rsid w:val="3ED21EC4"/>
    <w:rsid w:val="3F9A35A8"/>
    <w:rsid w:val="3FAA090B"/>
    <w:rsid w:val="3FD30F22"/>
    <w:rsid w:val="407B3939"/>
    <w:rsid w:val="421D6966"/>
    <w:rsid w:val="426B3F47"/>
    <w:rsid w:val="435D09B8"/>
    <w:rsid w:val="43FC06E7"/>
    <w:rsid w:val="44D57528"/>
    <w:rsid w:val="45533820"/>
    <w:rsid w:val="4564570E"/>
    <w:rsid w:val="460750F3"/>
    <w:rsid w:val="47B47257"/>
    <w:rsid w:val="47F42786"/>
    <w:rsid w:val="48854172"/>
    <w:rsid w:val="48B37CF1"/>
    <w:rsid w:val="49316025"/>
    <w:rsid w:val="49A6620A"/>
    <w:rsid w:val="4B111208"/>
    <w:rsid w:val="4B521F2A"/>
    <w:rsid w:val="4B650413"/>
    <w:rsid w:val="4B8D21F3"/>
    <w:rsid w:val="4C0D07C7"/>
    <w:rsid w:val="4C182375"/>
    <w:rsid w:val="4C24380E"/>
    <w:rsid w:val="4CEB50EA"/>
    <w:rsid w:val="4D1D75B1"/>
    <w:rsid w:val="4D373074"/>
    <w:rsid w:val="4E1B74FC"/>
    <w:rsid w:val="4E230A8E"/>
    <w:rsid w:val="4E7D2B15"/>
    <w:rsid w:val="4F4005E4"/>
    <w:rsid w:val="50880B7A"/>
    <w:rsid w:val="50EC4C58"/>
    <w:rsid w:val="51D13AD5"/>
    <w:rsid w:val="520538B1"/>
    <w:rsid w:val="524228B8"/>
    <w:rsid w:val="52F5085A"/>
    <w:rsid w:val="538C06DF"/>
    <w:rsid w:val="55924DAC"/>
    <w:rsid w:val="564960F5"/>
    <w:rsid w:val="570D348E"/>
    <w:rsid w:val="58BA7E64"/>
    <w:rsid w:val="58E37515"/>
    <w:rsid w:val="591A44AB"/>
    <w:rsid w:val="596A0971"/>
    <w:rsid w:val="59BA2FBD"/>
    <w:rsid w:val="59DFE918"/>
    <w:rsid w:val="5A115552"/>
    <w:rsid w:val="5B263DEC"/>
    <w:rsid w:val="5B43148E"/>
    <w:rsid w:val="5C850ABF"/>
    <w:rsid w:val="5CCC5AEC"/>
    <w:rsid w:val="5D577843"/>
    <w:rsid w:val="5D767DA7"/>
    <w:rsid w:val="5E40270F"/>
    <w:rsid w:val="5F200BFE"/>
    <w:rsid w:val="5FFD9087"/>
    <w:rsid w:val="609C495E"/>
    <w:rsid w:val="61562CB1"/>
    <w:rsid w:val="62195D02"/>
    <w:rsid w:val="62AE6722"/>
    <w:rsid w:val="640E3903"/>
    <w:rsid w:val="645E7675"/>
    <w:rsid w:val="66217F46"/>
    <w:rsid w:val="66486241"/>
    <w:rsid w:val="670B0DAF"/>
    <w:rsid w:val="675068B6"/>
    <w:rsid w:val="67654FB4"/>
    <w:rsid w:val="67CD271D"/>
    <w:rsid w:val="695C24E4"/>
    <w:rsid w:val="6964424A"/>
    <w:rsid w:val="6A0D3925"/>
    <w:rsid w:val="6A2E61B8"/>
    <w:rsid w:val="6A5933D6"/>
    <w:rsid w:val="6A901D2E"/>
    <w:rsid w:val="6AC45F98"/>
    <w:rsid w:val="6B07083C"/>
    <w:rsid w:val="6B896186"/>
    <w:rsid w:val="6BEFD7E5"/>
    <w:rsid w:val="6BFF85DF"/>
    <w:rsid w:val="6C8A5C7F"/>
    <w:rsid w:val="6DCA5B51"/>
    <w:rsid w:val="6DCD51E6"/>
    <w:rsid w:val="6DD276B1"/>
    <w:rsid w:val="6ECE64F4"/>
    <w:rsid w:val="6F376F84"/>
    <w:rsid w:val="70E45967"/>
    <w:rsid w:val="71200257"/>
    <w:rsid w:val="71201AA6"/>
    <w:rsid w:val="7214705B"/>
    <w:rsid w:val="72363445"/>
    <w:rsid w:val="726A12E6"/>
    <w:rsid w:val="743B1C70"/>
    <w:rsid w:val="75790432"/>
    <w:rsid w:val="76D933E6"/>
    <w:rsid w:val="76F5F441"/>
    <w:rsid w:val="7783643D"/>
    <w:rsid w:val="77EB2C16"/>
    <w:rsid w:val="78063785"/>
    <w:rsid w:val="782636D2"/>
    <w:rsid w:val="79047EA3"/>
    <w:rsid w:val="799E680F"/>
    <w:rsid w:val="79A95AC7"/>
    <w:rsid w:val="7A265BDF"/>
    <w:rsid w:val="7A6470BF"/>
    <w:rsid w:val="7A7D1C16"/>
    <w:rsid w:val="7BCF3F52"/>
    <w:rsid w:val="7C4B2FDC"/>
    <w:rsid w:val="7C5B27FA"/>
    <w:rsid w:val="7CB06119"/>
    <w:rsid w:val="7DBF9D33"/>
    <w:rsid w:val="7DDB569D"/>
    <w:rsid w:val="7DDF4E02"/>
    <w:rsid w:val="7E4C6490"/>
    <w:rsid w:val="7E607557"/>
    <w:rsid w:val="7EB9CD57"/>
    <w:rsid w:val="7F28203A"/>
    <w:rsid w:val="7F3228CC"/>
    <w:rsid w:val="7F857C3B"/>
    <w:rsid w:val="7FC5544A"/>
    <w:rsid w:val="96B7EAFB"/>
    <w:rsid w:val="BD274555"/>
    <w:rsid w:val="BDFE5C7F"/>
    <w:rsid w:val="C575C1E6"/>
    <w:rsid w:val="CFAAF1F0"/>
    <w:rsid w:val="ECDECA9F"/>
    <w:rsid w:val="F16FBE5D"/>
    <w:rsid w:val="F7F76A69"/>
    <w:rsid w:val="FBDF3959"/>
    <w:rsid w:val="FCFFD4D2"/>
    <w:rsid w:val="FDFECA02"/>
    <w:rsid w:val="FFDF450B"/>
    <w:rsid w:val="FFFC55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after="330" w:afterLines="0" w:line="578" w:lineRule="auto"/>
      <w:outlineLvl w:val="0"/>
    </w:pPr>
    <w:rPr>
      <w:b/>
      <w:bCs/>
      <w:kern w:val="44"/>
      <w:sz w:val="44"/>
      <w:szCs w:val="44"/>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rPr>
  </w:style>
  <w:style w:type="character" w:default="1" w:styleId="10">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customStyle="1" w:styleId="2">
    <w:name w:val="列出段落1"/>
    <w:basedOn w:val="1"/>
    <w:qFormat/>
    <w:uiPriority w:val="0"/>
    <w:pPr>
      <w:ind w:firstLine="420"/>
    </w:pPr>
    <w:rPr>
      <w:rFonts w:eastAsia="Calibri"/>
      <w:sz w:val="20"/>
      <w:szCs w:val="20"/>
    </w:rPr>
  </w:style>
  <w:style w:type="paragraph" w:styleId="5">
    <w:name w:val="Body Text"/>
    <w:basedOn w:val="1"/>
    <w:next w:val="6"/>
    <w:qFormat/>
    <w:uiPriority w:val="0"/>
    <w:pPr>
      <w:spacing w:after="120"/>
    </w:pPr>
  </w:style>
  <w:style w:type="paragraph" w:styleId="6">
    <w:name w:val="Body Text 2"/>
    <w:basedOn w:val="1"/>
    <w:qFormat/>
    <w:uiPriority w:val="0"/>
    <w:pPr>
      <w:spacing w:after="120" w:line="480" w:lineRule="auto"/>
    </w:pPr>
  </w:style>
  <w:style w:type="paragraph" w:styleId="7">
    <w:name w:val="Date"/>
    <w:basedOn w:val="1"/>
    <w:next w:val="1"/>
    <w:uiPriority w:val="0"/>
    <w:pPr>
      <w:ind w:left="100" w:leftChars="2500"/>
    </w:p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style>
  <w:style w:type="table" w:styleId="13">
    <w:name w:val="Table Grid"/>
    <w:basedOn w:val="12"/>
    <w:qFormat/>
    <w:uiPriority w:val="9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21"/>
    <w:basedOn w:val="10"/>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5</Pages>
  <Words>354</Words>
  <Characters>377</Characters>
  <Lines>20</Lines>
  <Paragraphs>5</Paragraphs>
  <TotalTime>0</TotalTime>
  <ScaleCrop>false</ScaleCrop>
  <LinksUpToDate>false</LinksUpToDate>
  <CharactersWithSpaces>377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2016-03-14T02:44:00Z</dcterms:created>
  <dc:creator>User</dc:creator>
  <cp:lastModifiedBy>yx</cp:lastModifiedBy>
  <cp:lastPrinted>2026-02-08T16:25:11Z</cp:lastPrinted>
  <dcterms:modified xsi:type="dcterms:W3CDTF">2026-02-13T06:37:08Z</dcterms:modified>
  <dc:title>湖南省体育局</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eyJoZGlkIjoiNDVjYjI5MzI0ZWJkYjMxY2JiNWY2YmViZDI4ZDc5YzIiLCJ1c2VySWQiOiI0MjkzODM4ODUifQ==</vt:lpwstr>
  </property>
  <property fmtid="{D5CDD505-2E9C-101B-9397-08002B2CF9AE}" pid="4" name="ICV">
    <vt:lpwstr>C92B23A812334A5087F09B44A027C90E_13</vt:lpwstr>
  </property>
</Properties>
</file>