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宋体" w:eastAsia="方正小标宋简体" w:cs="宋体"/>
          <w:sz w:val="44"/>
          <w:szCs w:val="44"/>
        </w:rPr>
      </w:pPr>
    </w:p>
    <w:p>
      <w:pPr>
        <w:spacing w:line="700" w:lineRule="exact"/>
        <w:jc w:val="center"/>
        <w:rPr>
          <w:rFonts w:ascii="方正小标宋简体" w:hAnsi="宋体" w:eastAsia="方正小标宋简体" w:cs="宋体"/>
          <w:sz w:val="44"/>
          <w:szCs w:val="44"/>
        </w:rPr>
      </w:pPr>
    </w:p>
    <w:p>
      <w:pPr>
        <w:spacing w:line="700" w:lineRule="exact"/>
        <w:jc w:val="center"/>
        <w:rPr>
          <w:rFonts w:ascii="方正小标宋简体" w:hAnsi="宋体" w:eastAsia="方正小标宋简体" w:cs="宋体"/>
          <w:sz w:val="44"/>
          <w:szCs w:val="44"/>
        </w:rPr>
      </w:pPr>
    </w:p>
    <w:p>
      <w:pPr>
        <w:pStyle w:val="2"/>
        <w:jc w:val="center"/>
      </w:pPr>
      <w:r>
        <w:rPr>
          <w:rFonts w:hint="eastAsia"/>
        </w:rPr>
        <w:t>湖南省体育局</w:t>
      </w:r>
      <w:r>
        <w:t>2017</w:t>
      </w:r>
      <w:r>
        <w:rPr>
          <w:rFonts w:hint="eastAsia"/>
        </w:rPr>
        <w:t>年度体育发展专项</w:t>
      </w:r>
    </w:p>
    <w:p>
      <w:pPr>
        <w:pStyle w:val="2"/>
        <w:jc w:val="center"/>
      </w:pPr>
      <w:r>
        <w:rPr>
          <w:rFonts w:hint="eastAsia"/>
        </w:rPr>
        <w:t>绩效评价报告</w:t>
      </w:r>
    </w:p>
    <w:p>
      <w:pPr>
        <w:ind w:firstLine="640" w:firstLineChars="200"/>
        <w:rPr>
          <w:rFonts w:ascii="仿宋_GB2312" w:eastAsia="仿宋_GB2312"/>
          <w:sz w:val="32"/>
          <w:szCs w:val="32"/>
        </w:rPr>
      </w:pPr>
    </w:p>
    <w:p>
      <w:pPr>
        <w:widowControl/>
        <w:ind w:firstLine="640" w:firstLineChars="200"/>
        <w:jc w:val="left"/>
        <w:rPr>
          <w:rFonts w:ascii="宋体" w:hAnsi="宋体" w:cs="宋体"/>
          <w:kern w:val="0"/>
          <w:sz w:val="32"/>
          <w:szCs w:val="32"/>
        </w:rPr>
      </w:pPr>
      <w:r>
        <w:rPr>
          <w:rFonts w:hint="eastAsia" w:ascii="仿宋_GB2312" w:hAnsi="宋体" w:eastAsia="仿宋_GB2312"/>
          <w:sz w:val="32"/>
          <w:szCs w:val="32"/>
        </w:rPr>
        <w:t>为确保体育项目资金合规使用、专款专用，保障广大群众体育需求，促进体育事业健康发展，进一步完善专项资金管理，提高财政资金使用效益，根据财政部《财政支出绩效评价管理暂行办法》（财预〔</w:t>
      </w:r>
      <w:r>
        <w:rPr>
          <w:rFonts w:ascii="仿宋_GB2312" w:hAnsi="宋体" w:eastAsia="仿宋_GB2312"/>
          <w:sz w:val="32"/>
          <w:szCs w:val="32"/>
        </w:rPr>
        <w:t>2011</w:t>
      </w:r>
      <w:r>
        <w:rPr>
          <w:rFonts w:hint="eastAsia" w:ascii="仿宋_GB2312" w:hAnsi="宋体" w:eastAsia="仿宋_GB2312"/>
          <w:sz w:val="32"/>
          <w:szCs w:val="32"/>
        </w:rPr>
        <w:t>〕</w:t>
      </w:r>
      <w:r>
        <w:rPr>
          <w:rFonts w:ascii="仿宋_GB2312" w:hAnsi="宋体" w:eastAsia="仿宋_GB2312"/>
          <w:sz w:val="32"/>
          <w:szCs w:val="32"/>
        </w:rPr>
        <w:t>285</w:t>
      </w:r>
      <w:r>
        <w:rPr>
          <w:rFonts w:hint="eastAsia" w:ascii="仿宋_GB2312" w:hAnsi="宋体" w:eastAsia="仿宋_GB2312"/>
          <w:sz w:val="32"/>
          <w:szCs w:val="32"/>
        </w:rPr>
        <w:t>号）、《湖南省人民政府关于全面推进预算绩效管理的意见》（湘政发〔</w:t>
      </w:r>
      <w:r>
        <w:rPr>
          <w:rFonts w:ascii="仿宋_GB2312" w:hAnsi="宋体" w:eastAsia="仿宋_GB2312"/>
          <w:sz w:val="32"/>
          <w:szCs w:val="32"/>
        </w:rPr>
        <w:t>2012</w:t>
      </w:r>
      <w:r>
        <w:rPr>
          <w:rFonts w:hint="eastAsia" w:ascii="仿宋_GB2312" w:hAnsi="宋体" w:eastAsia="仿宋_GB2312"/>
          <w:sz w:val="32"/>
          <w:szCs w:val="32"/>
        </w:rPr>
        <w:t>〕</w:t>
      </w:r>
      <w:r>
        <w:rPr>
          <w:rFonts w:ascii="仿宋_GB2312" w:hAnsi="宋体" w:eastAsia="仿宋_GB2312"/>
          <w:sz w:val="32"/>
          <w:szCs w:val="32"/>
        </w:rPr>
        <w:t>33</w:t>
      </w:r>
      <w:r>
        <w:rPr>
          <w:rFonts w:hint="eastAsia" w:ascii="仿宋_GB2312" w:hAnsi="宋体" w:eastAsia="仿宋_GB2312"/>
          <w:sz w:val="32"/>
          <w:szCs w:val="32"/>
        </w:rPr>
        <w:t>号）、</w:t>
      </w:r>
      <w:r>
        <w:rPr>
          <w:rFonts w:hint="eastAsia" w:ascii="仿宋_GB2312" w:hAnsi="??" w:eastAsia="仿宋_GB2312"/>
          <w:sz w:val="32"/>
          <w:szCs w:val="32"/>
        </w:rPr>
        <w:t>《湖南省人民政府关于深化预算管理制度改革的实施意见）》（湘政发〔</w:t>
      </w:r>
      <w:r>
        <w:rPr>
          <w:rFonts w:ascii="仿宋_GB2312" w:hAnsi="??" w:eastAsia="仿宋_GB2312"/>
          <w:sz w:val="32"/>
          <w:szCs w:val="32"/>
        </w:rPr>
        <w:t>2015</w:t>
      </w:r>
      <w:r>
        <w:rPr>
          <w:rFonts w:hint="eastAsia" w:ascii="仿宋_GB2312" w:hAnsi="??" w:eastAsia="仿宋_GB2312"/>
          <w:sz w:val="32"/>
          <w:szCs w:val="32"/>
        </w:rPr>
        <w:t>〕</w:t>
      </w:r>
      <w:r>
        <w:rPr>
          <w:rFonts w:ascii="仿宋_GB2312" w:hAnsi="??" w:eastAsia="仿宋_GB2312"/>
          <w:sz w:val="32"/>
          <w:szCs w:val="32"/>
        </w:rPr>
        <w:t>8</w:t>
      </w:r>
      <w:r>
        <w:rPr>
          <w:rFonts w:hint="eastAsia" w:ascii="仿宋_GB2312" w:hAnsi="??" w:eastAsia="仿宋_GB2312"/>
          <w:sz w:val="32"/>
          <w:szCs w:val="32"/>
        </w:rPr>
        <w:t>号）</w:t>
      </w:r>
      <w:r>
        <w:rPr>
          <w:rFonts w:hint="eastAsia" w:ascii="仿宋_GB2312" w:hAnsi="宋体" w:eastAsia="仿宋_GB2312"/>
          <w:sz w:val="32"/>
          <w:szCs w:val="32"/>
        </w:rPr>
        <w:t>以及《湖南省财政厅关于开展2017年度省级一般公告预算专项资金绩效自评工作的通知》（湘财绩〔2018〕3号）等文件要求，湖南省体育局成立2017年度体育发展专项绩效评价工作小组，委托湖南天平正大有限责任会计师事务所于2018年3月20日至4月30日对湖南省体育局2017年度体育发展专项项目资金实施了绩效评价，形成了本评价报告。</w:t>
      </w:r>
    </w:p>
    <w:p>
      <w:pPr>
        <w:pStyle w:val="10"/>
        <w:spacing w:line="240" w:lineRule="auto"/>
        <w:ind w:firstLine="640" w:firstLineChars="200"/>
        <w:jc w:val="both"/>
        <w:outlineLvl w:val="9"/>
        <w:rPr>
          <w:rFonts w:ascii="黑体" w:eastAsia="黑体"/>
          <w:b w:val="0"/>
          <w:bCs w:val="0"/>
          <w:kern w:val="2"/>
          <w:sz w:val="32"/>
          <w:szCs w:val="32"/>
        </w:rPr>
      </w:pPr>
      <w:r>
        <w:rPr>
          <w:rFonts w:hint="eastAsia" w:ascii="黑体" w:hAnsi="宋体" w:eastAsia="黑体"/>
          <w:b w:val="0"/>
          <w:bCs w:val="0"/>
          <w:kern w:val="2"/>
          <w:sz w:val="32"/>
          <w:szCs w:val="32"/>
        </w:rPr>
        <w:t>一、项目基本情况</w:t>
      </w:r>
    </w:p>
    <w:p>
      <w:pPr>
        <w:ind w:firstLine="640" w:firstLineChars="200"/>
        <w:rPr>
          <w:rFonts w:ascii="楷体_GB2312" w:eastAsia="楷体_GB2312"/>
          <w:bCs/>
          <w:sz w:val="32"/>
          <w:szCs w:val="32"/>
        </w:rPr>
      </w:pPr>
      <w:r>
        <w:rPr>
          <w:rFonts w:hint="eastAsia" w:ascii="楷体_GB2312" w:hAnsi="宋体" w:eastAsia="楷体_GB2312"/>
          <w:sz w:val="32"/>
          <w:szCs w:val="32"/>
        </w:rPr>
        <w:t>（一）</w:t>
      </w:r>
      <w:r>
        <w:rPr>
          <w:rFonts w:hint="eastAsia" w:ascii="楷体_GB2312" w:hAnsi="宋体" w:eastAsia="楷体_GB2312"/>
          <w:bCs/>
          <w:sz w:val="32"/>
          <w:szCs w:val="32"/>
        </w:rPr>
        <w:t>项目概况</w:t>
      </w:r>
    </w:p>
    <w:p>
      <w:pPr>
        <w:ind w:firstLine="640" w:firstLineChars="200"/>
        <w:rPr>
          <w:rFonts w:ascii="仿宋_GB2312" w:eastAsia="仿宋_GB2312"/>
          <w:kern w:val="0"/>
          <w:sz w:val="32"/>
          <w:szCs w:val="32"/>
        </w:rPr>
      </w:pPr>
      <w:r>
        <w:rPr>
          <w:rFonts w:hint="eastAsia" w:ascii="仿宋_GB2312" w:hAnsi="宋体" w:eastAsia="仿宋_GB2312"/>
          <w:kern w:val="0"/>
          <w:sz w:val="32"/>
          <w:szCs w:val="32"/>
        </w:rPr>
        <w:t>根据《湖南省财政厅关于下达2017年体育经费的通知》（湘财教指〔</w:t>
      </w:r>
      <w:r>
        <w:rPr>
          <w:rFonts w:ascii="仿宋_GB2312" w:hAnsi="宋体" w:eastAsia="仿宋_GB2312"/>
          <w:kern w:val="0"/>
          <w:sz w:val="32"/>
          <w:szCs w:val="32"/>
        </w:rPr>
        <w:t>2017</w:t>
      </w:r>
      <w:r>
        <w:rPr>
          <w:rFonts w:hint="eastAsia" w:ascii="仿宋_GB2312" w:hAnsi="宋体" w:eastAsia="仿宋_GB2312"/>
          <w:kern w:val="0"/>
          <w:sz w:val="32"/>
          <w:szCs w:val="32"/>
        </w:rPr>
        <w:t>〕1</w:t>
      </w:r>
      <w:r>
        <w:rPr>
          <w:rFonts w:ascii="仿宋_GB2312" w:hAnsi="宋体" w:eastAsia="仿宋_GB2312"/>
          <w:kern w:val="0"/>
          <w:sz w:val="32"/>
          <w:szCs w:val="32"/>
        </w:rPr>
        <w:t>4</w:t>
      </w:r>
      <w:r>
        <w:rPr>
          <w:rFonts w:hint="eastAsia" w:ascii="仿宋_GB2312" w:hAnsi="宋体" w:eastAsia="仿宋_GB2312"/>
          <w:kern w:val="0"/>
          <w:sz w:val="32"/>
          <w:szCs w:val="32"/>
        </w:rPr>
        <w:t>号）文件下达</w:t>
      </w:r>
      <w:r>
        <w:rPr>
          <w:rFonts w:ascii="仿宋_GB2312" w:hAnsi="宋体" w:eastAsia="仿宋_GB2312"/>
          <w:kern w:val="0"/>
          <w:sz w:val="32"/>
          <w:szCs w:val="32"/>
        </w:rPr>
        <w:t>2017</w:t>
      </w:r>
      <w:r>
        <w:rPr>
          <w:rFonts w:hint="eastAsia" w:ascii="仿宋_GB2312" w:hAnsi="宋体" w:eastAsia="仿宋_GB2312"/>
          <w:kern w:val="0"/>
          <w:sz w:val="32"/>
          <w:szCs w:val="32"/>
        </w:rPr>
        <w:t>年度体育</w:t>
      </w:r>
      <w:r>
        <w:rPr>
          <w:rFonts w:eastAsia="仿宋_GB2312"/>
          <w:sz w:val="32"/>
          <w:szCs w:val="32"/>
        </w:rPr>
        <w:t>资金</w:t>
      </w:r>
      <w:r>
        <w:rPr>
          <w:rFonts w:ascii="仿宋_GB2312" w:hAnsi="宋体" w:eastAsia="仿宋_GB2312"/>
          <w:kern w:val="0"/>
          <w:sz w:val="32"/>
          <w:szCs w:val="32"/>
        </w:rPr>
        <w:t>1,</w:t>
      </w:r>
      <w:r>
        <w:rPr>
          <w:rFonts w:hint="eastAsia" w:ascii="仿宋_GB2312" w:hAnsi="宋体" w:eastAsia="仿宋_GB2312"/>
          <w:kern w:val="0"/>
          <w:sz w:val="32"/>
          <w:szCs w:val="32"/>
        </w:rPr>
        <w:t>721万元。根据</w:t>
      </w:r>
      <w:r>
        <w:rPr>
          <w:rFonts w:hint="eastAsia" w:ascii="仿宋_GB2312" w:hAnsi="宋体" w:eastAsia="仿宋_GB2312"/>
          <w:sz w:val="32"/>
          <w:szCs w:val="32"/>
        </w:rPr>
        <w:t>湖南省财政厅《</w:t>
      </w:r>
      <w:r>
        <w:rPr>
          <w:rFonts w:hint="eastAsia" w:ascii="仿宋_GB2312" w:hAnsi="??" w:eastAsia="仿宋_GB2312"/>
          <w:sz w:val="32"/>
          <w:szCs w:val="32"/>
        </w:rPr>
        <w:t>湖南省财政厅关于开展</w:t>
      </w:r>
      <w:r>
        <w:rPr>
          <w:rFonts w:ascii="仿宋_GB2312" w:hAnsi="??" w:eastAsia="仿宋_GB2312"/>
          <w:sz w:val="32"/>
          <w:szCs w:val="32"/>
        </w:rPr>
        <w:t>2017</w:t>
      </w:r>
      <w:r>
        <w:rPr>
          <w:rFonts w:hint="eastAsia" w:ascii="仿宋_GB2312" w:hAnsi="??" w:eastAsia="仿宋_GB2312"/>
          <w:sz w:val="32"/>
          <w:szCs w:val="32"/>
        </w:rPr>
        <w:t>年度省级一般</w:t>
      </w:r>
      <w:r>
        <w:rPr>
          <w:rFonts w:ascii="仿宋_GB2312" w:hAnsi="??" w:eastAsia="仿宋_GB2312"/>
          <w:sz w:val="32"/>
          <w:szCs w:val="32"/>
        </w:rPr>
        <w:t>公告预算专项资金绩效</w:t>
      </w:r>
      <w:r>
        <w:rPr>
          <w:rFonts w:hint="eastAsia" w:ascii="仿宋_GB2312" w:hAnsi="??" w:eastAsia="仿宋_GB2312"/>
          <w:sz w:val="32"/>
          <w:szCs w:val="32"/>
        </w:rPr>
        <w:t>自评工作的通知》（湘财绩〔</w:t>
      </w:r>
      <w:r>
        <w:rPr>
          <w:rFonts w:ascii="仿宋_GB2312" w:hAnsi="??" w:eastAsia="仿宋_GB2312"/>
          <w:sz w:val="32"/>
          <w:szCs w:val="32"/>
        </w:rPr>
        <w:t>2018</w:t>
      </w:r>
      <w:r>
        <w:rPr>
          <w:rFonts w:hint="eastAsia" w:ascii="仿宋_GB2312" w:hAnsi="??" w:eastAsia="仿宋_GB2312"/>
          <w:sz w:val="32"/>
          <w:szCs w:val="32"/>
        </w:rPr>
        <w:t>〕</w:t>
      </w:r>
      <w:r>
        <w:rPr>
          <w:rFonts w:ascii="仿宋_GB2312" w:hAnsi="??" w:eastAsia="仿宋_GB2312"/>
          <w:sz w:val="32"/>
          <w:szCs w:val="32"/>
        </w:rPr>
        <w:t>3</w:t>
      </w:r>
      <w:r>
        <w:rPr>
          <w:rFonts w:hint="eastAsia" w:ascii="仿宋_GB2312" w:hAnsi="??" w:eastAsia="仿宋_GB2312"/>
          <w:sz w:val="32"/>
          <w:szCs w:val="32"/>
        </w:rPr>
        <w:t>号）</w:t>
      </w:r>
      <w:r>
        <w:rPr>
          <w:rFonts w:hint="eastAsia" w:ascii="仿宋_GB2312" w:hAnsi="宋体" w:eastAsia="仿宋_GB2312"/>
          <w:kern w:val="0"/>
          <w:sz w:val="32"/>
          <w:szCs w:val="32"/>
        </w:rPr>
        <w:t>，本次省级公共财政专项资金绩效评价的体育发展专项资金共计</w:t>
      </w:r>
      <w:r>
        <w:rPr>
          <w:rFonts w:ascii="仿宋_GB2312" w:hAnsi="宋体" w:eastAsia="仿宋_GB2312"/>
          <w:kern w:val="0"/>
          <w:sz w:val="32"/>
          <w:szCs w:val="32"/>
        </w:rPr>
        <w:t>1,721</w:t>
      </w:r>
      <w:r>
        <w:rPr>
          <w:rFonts w:hint="eastAsia" w:ascii="仿宋_GB2312" w:hAnsi="宋体" w:eastAsia="仿宋_GB2312"/>
          <w:kern w:val="0"/>
          <w:sz w:val="32"/>
          <w:szCs w:val="32"/>
        </w:rPr>
        <w:t>万元，包括</w:t>
      </w:r>
      <w:r>
        <w:rPr>
          <w:rFonts w:ascii="仿宋_GB2312" w:hAnsi="宋体" w:eastAsia="仿宋_GB2312"/>
          <w:kern w:val="0"/>
          <w:sz w:val="32"/>
          <w:szCs w:val="32"/>
        </w:rPr>
        <w:t>5</w:t>
      </w:r>
      <w:r>
        <w:rPr>
          <w:rFonts w:hint="eastAsia" w:ascii="仿宋_GB2312" w:hAnsi="宋体" w:eastAsia="仿宋_GB2312"/>
          <w:kern w:val="0"/>
          <w:sz w:val="32"/>
          <w:szCs w:val="32"/>
        </w:rPr>
        <w:t>个子项目，各子项目内容简述如下：</w:t>
      </w:r>
    </w:p>
    <w:p>
      <w:pPr>
        <w:ind w:firstLine="640" w:firstLineChars="200"/>
        <w:rPr>
          <w:rFonts w:ascii="仿宋_GB2312" w:hAnsi="宋体" w:eastAsia="仿宋_GB2312"/>
          <w:kern w:val="0"/>
          <w:sz w:val="32"/>
          <w:szCs w:val="32"/>
        </w:rPr>
      </w:pPr>
      <w:r>
        <w:rPr>
          <w:rFonts w:ascii="仿宋_GB2312" w:hAnsi="宋体" w:eastAsia="仿宋_GB2312"/>
          <w:kern w:val="0"/>
          <w:sz w:val="32"/>
          <w:szCs w:val="32"/>
        </w:rPr>
        <w:t>1</w:t>
      </w:r>
      <w:r>
        <w:rPr>
          <w:rFonts w:hint="eastAsia" w:ascii="仿宋_GB2312" w:hAnsi="宋体" w:eastAsia="仿宋_GB2312"/>
          <w:kern w:val="0"/>
          <w:sz w:val="32"/>
          <w:szCs w:val="32"/>
        </w:rPr>
        <w:t>、“运动员常年赛成绩奖”。为鼓励运动员刻苦训练、为国争光，根据《湖南省体育运动员贯彻&lt;事业单位工作人员收入分配制度改革方案&gt;的实施意见的通知》（湘人发[2007]205号）文件，设立运动员常年赛成绩奖。对在国内外各类重大体育比赛中获得优异成绩的运动员、教练员，根据比赛层次和获奖名次，按文件规定的标准发给一次性奖金；该项目为常年性项目，2017年度湖南省财政厅扶持资金</w:t>
      </w:r>
      <w:r>
        <w:rPr>
          <w:rFonts w:ascii="仿宋_GB2312" w:hAnsi="宋体" w:eastAsia="仿宋_GB2312"/>
          <w:kern w:val="0"/>
          <w:sz w:val="32"/>
          <w:szCs w:val="32"/>
        </w:rPr>
        <w:t>500.00</w:t>
      </w:r>
      <w:r>
        <w:rPr>
          <w:rFonts w:hint="eastAsia" w:ascii="仿宋_GB2312" w:hAnsi="宋体" w:eastAsia="仿宋_GB2312"/>
          <w:kern w:val="0"/>
          <w:sz w:val="32"/>
          <w:szCs w:val="32"/>
        </w:rPr>
        <w:t>万元，根据优秀运动员参加上年度的全国三大赛（锦标赛、冠军赛、青年赛）的成绩，按相关标准给予奖励。</w:t>
      </w:r>
    </w:p>
    <w:p>
      <w:pPr>
        <w:ind w:firstLine="640" w:firstLineChars="200"/>
        <w:rPr>
          <w:rFonts w:ascii="仿宋_GB2312" w:eastAsia="仿宋_GB2312"/>
          <w:kern w:val="0"/>
          <w:sz w:val="32"/>
          <w:szCs w:val="32"/>
        </w:rPr>
      </w:pPr>
      <w:r>
        <w:rPr>
          <w:rFonts w:ascii="仿宋_GB2312" w:hAnsi="宋体" w:eastAsia="仿宋_GB2312"/>
          <w:kern w:val="0"/>
          <w:sz w:val="32"/>
          <w:szCs w:val="32"/>
        </w:rPr>
        <w:t xml:space="preserve"> 2</w:t>
      </w:r>
      <w:r>
        <w:rPr>
          <w:rFonts w:hint="eastAsia" w:ascii="仿宋_GB2312" w:hAnsi="宋体" w:eastAsia="仿宋_GB2312"/>
          <w:kern w:val="0"/>
          <w:sz w:val="32"/>
          <w:szCs w:val="32"/>
        </w:rPr>
        <w:t>、“系统内场馆维修”，主要用于湖南省体育局各直属单位的体育场馆设施维修。每年第三季度，各直属单位提出申请并填报“湖南省体育发展专项资金申报表”，随同相关申报材料直接报湖南省体育局，湖南省体育局按程序对申报项目进行审核汇总，提出具体项目推荐审核意见方案商省财政厅。该项目为常年性项目，2017年湖南省财政厅扶持资金</w:t>
      </w:r>
      <w:r>
        <w:rPr>
          <w:rFonts w:ascii="仿宋_GB2312" w:hAnsi="宋体" w:eastAsia="仿宋_GB2312"/>
          <w:kern w:val="0"/>
          <w:sz w:val="32"/>
          <w:szCs w:val="32"/>
        </w:rPr>
        <w:t>321.00</w:t>
      </w:r>
      <w:r>
        <w:rPr>
          <w:rFonts w:hint="eastAsia" w:ascii="仿宋_GB2312" w:hAnsi="宋体" w:eastAsia="仿宋_GB2312"/>
          <w:kern w:val="0"/>
          <w:sz w:val="32"/>
          <w:szCs w:val="32"/>
        </w:rPr>
        <w:t>万元。</w:t>
      </w:r>
    </w:p>
    <w:p>
      <w:pPr>
        <w:ind w:firstLine="640" w:firstLineChars="200"/>
        <w:rPr>
          <w:rFonts w:ascii="仿宋_GB2312" w:hAnsi="仿宋" w:eastAsia="仿宋_GB2312"/>
          <w:sz w:val="32"/>
          <w:szCs w:val="32"/>
        </w:rPr>
      </w:pPr>
      <w:r>
        <w:rPr>
          <w:rFonts w:ascii="仿宋_GB2312" w:hAnsi="宋体" w:eastAsia="仿宋_GB2312"/>
          <w:kern w:val="0"/>
          <w:sz w:val="32"/>
          <w:szCs w:val="32"/>
        </w:rPr>
        <w:t>3</w:t>
      </w:r>
      <w:r>
        <w:rPr>
          <w:rFonts w:hint="eastAsia" w:ascii="仿宋_GB2312" w:hAnsi="宋体" w:eastAsia="仿宋_GB2312"/>
          <w:kern w:val="0"/>
          <w:sz w:val="32"/>
          <w:szCs w:val="32"/>
        </w:rPr>
        <w:t>、“群众体育活动专项”，</w:t>
      </w:r>
      <w:r>
        <w:rPr>
          <w:rFonts w:hint="eastAsia" w:ascii="仿宋_GB2312" w:hAnsi="仿宋" w:eastAsia="仿宋_GB2312"/>
          <w:sz w:val="32"/>
          <w:szCs w:val="32"/>
        </w:rPr>
        <w:t>资金分配依据为根据《湖南省全民健身实施计划（2016-2020年）》文件精神，要求“广泛开展全民健身活动，打造全民健身特色品牌，丰富活动供给”和“推进社会体育指导员综合素质和服务水平显著提高。广泛组织优秀运动员、教练员、学校体育教师开展义务健身辅导，培育全民健身骨干，形成组织落实、结构合理、覆盖城乡、服务到位的全民健身志愿服务队伍。” 根据活动规模、参与人数、当地消费水平确定经费安排规模。经费安排内容包括场地租赁与布置、媒体宣传与报道、物料准备与制作、队员食宿、师资邀请与教材购置、外聘裁判员劳务等；</w:t>
      </w:r>
    </w:p>
    <w:p>
      <w:pPr>
        <w:ind w:firstLine="640" w:firstLineChars="200"/>
        <w:rPr>
          <w:rFonts w:ascii="仿宋_GB2312" w:hAnsi="仿宋" w:eastAsia="仿宋_GB2312"/>
          <w:sz w:val="32"/>
          <w:szCs w:val="32"/>
        </w:rPr>
      </w:pPr>
      <w:r>
        <w:rPr>
          <w:rFonts w:hint="eastAsia" w:ascii="仿宋_GB2312" w:hAnsi="宋体" w:eastAsia="仿宋_GB2312"/>
          <w:kern w:val="0"/>
          <w:sz w:val="32"/>
          <w:szCs w:val="32"/>
        </w:rPr>
        <w:t>该项目为常年性项目，2017年湖南省财政厅扶持资金</w:t>
      </w:r>
      <w:r>
        <w:rPr>
          <w:rFonts w:ascii="仿宋_GB2312" w:hAnsi="宋体" w:eastAsia="仿宋_GB2312"/>
          <w:kern w:val="0"/>
          <w:sz w:val="32"/>
          <w:szCs w:val="32"/>
        </w:rPr>
        <w:t>100.00</w:t>
      </w:r>
      <w:r>
        <w:rPr>
          <w:rFonts w:hint="eastAsia" w:ascii="仿宋_GB2312" w:hAnsi="宋体" w:eastAsia="仿宋_GB2312"/>
          <w:kern w:val="0"/>
          <w:sz w:val="32"/>
          <w:szCs w:val="32"/>
        </w:rPr>
        <w:t>万元，主要用于全民健身体育活动开展，包括群众性体育竞赛和健身教练培训等。</w:t>
      </w:r>
    </w:p>
    <w:p>
      <w:pPr>
        <w:ind w:firstLine="640" w:firstLineChars="200"/>
        <w:rPr>
          <w:rFonts w:ascii="仿宋_GB2312" w:hAnsi="宋体" w:eastAsia="仿宋_GB2312"/>
          <w:kern w:val="0"/>
          <w:sz w:val="32"/>
          <w:szCs w:val="32"/>
        </w:rPr>
      </w:pPr>
      <w:r>
        <w:rPr>
          <w:rFonts w:ascii="仿宋_GB2312" w:hAnsi="宋体" w:eastAsia="仿宋_GB2312"/>
          <w:kern w:val="0"/>
          <w:sz w:val="32"/>
          <w:szCs w:val="32"/>
        </w:rPr>
        <w:t>4</w:t>
      </w:r>
      <w:r>
        <w:rPr>
          <w:rFonts w:hint="eastAsia" w:ascii="仿宋_GB2312" w:hAnsi="宋体" w:eastAsia="仿宋_GB2312"/>
          <w:kern w:val="0"/>
          <w:sz w:val="32"/>
          <w:szCs w:val="32"/>
        </w:rPr>
        <w:t>、“群众体育设施维修”，</w:t>
      </w:r>
      <w:r>
        <w:rPr>
          <w:rFonts w:hint="eastAsia" w:ascii="仿宋_GB2312" w:eastAsia="仿宋_GB2312"/>
          <w:sz w:val="32"/>
          <w:szCs w:val="32"/>
        </w:rPr>
        <w:t>主要用于市、区、县群众性体育场地设施维修；</w:t>
      </w:r>
      <w:r>
        <w:rPr>
          <w:rFonts w:ascii="仿宋_GB2312" w:eastAsia="仿宋_GB2312"/>
          <w:sz w:val="32"/>
          <w:szCs w:val="32"/>
        </w:rPr>
        <w:t xml:space="preserve"> </w:t>
      </w:r>
      <w:r>
        <w:rPr>
          <w:rFonts w:hint="eastAsia" w:ascii="仿宋_GB2312" w:eastAsia="仿宋_GB2312"/>
          <w:sz w:val="32"/>
          <w:szCs w:val="32"/>
        </w:rPr>
        <w:t>市县项目单位提出申请并填报“湖南省体育发展专项资金申报表”，随同相关申报材料报同级体育主管部门。市州体育主管部门对所辖地区申报项目进行初审后，填报“湖南省体育发展专项资金申报汇总表”，以正式文件报湖南省体育局，湖南省体育局按程序对申报项目进行审核汇总，提出具体项目推荐审核意见方案商省财政厅。该项目为常年性项目，2017年湖南省财政厅扶持资金</w:t>
      </w:r>
      <w:r>
        <w:rPr>
          <w:rFonts w:ascii="仿宋_GB2312" w:eastAsia="仿宋_GB2312"/>
          <w:sz w:val="32"/>
          <w:szCs w:val="32"/>
        </w:rPr>
        <w:t>300.00</w:t>
      </w:r>
      <w:r>
        <w:rPr>
          <w:rFonts w:hint="eastAsia" w:ascii="仿宋_GB2312" w:eastAsia="仿宋_GB2312"/>
          <w:sz w:val="32"/>
          <w:szCs w:val="32"/>
        </w:rPr>
        <w:t>万元。</w:t>
      </w:r>
    </w:p>
    <w:p>
      <w:pPr>
        <w:ind w:firstLine="640" w:firstLineChars="200"/>
        <w:rPr>
          <w:rFonts w:ascii="仿宋_GB2312" w:eastAsia="仿宋_GB2312"/>
          <w:sz w:val="32"/>
          <w:szCs w:val="32"/>
        </w:rPr>
      </w:pPr>
      <w:r>
        <w:rPr>
          <w:rFonts w:ascii="仿宋_GB2312" w:hAnsi="宋体" w:eastAsia="仿宋_GB2312"/>
          <w:kern w:val="0"/>
          <w:sz w:val="32"/>
          <w:szCs w:val="32"/>
        </w:rPr>
        <w:t>5</w:t>
      </w:r>
      <w:r>
        <w:rPr>
          <w:rFonts w:hint="eastAsia" w:ascii="仿宋_GB2312" w:hAnsi="宋体" w:eastAsia="仿宋_GB2312"/>
          <w:kern w:val="0"/>
          <w:sz w:val="32"/>
          <w:szCs w:val="32"/>
        </w:rPr>
        <w:t>、“体育后备人才培养”，该项目为常年性项目，</w:t>
      </w:r>
      <w:r>
        <w:rPr>
          <w:rFonts w:hint="eastAsia" w:ascii="仿宋_GB2312" w:eastAsia="仿宋_GB2312"/>
          <w:sz w:val="32"/>
          <w:szCs w:val="32"/>
        </w:rPr>
        <w:t>从</w:t>
      </w:r>
      <w:r>
        <w:rPr>
          <w:rFonts w:hint="eastAsia" w:ascii="黑体" w:eastAsia="黑体"/>
          <w:color w:val="000000"/>
          <w:sz w:val="32"/>
          <w:szCs w:val="32"/>
        </w:rPr>
        <w:t>2007</w:t>
      </w:r>
      <w:r>
        <w:rPr>
          <w:rFonts w:hint="eastAsia" w:ascii="仿宋_GB2312" w:eastAsia="仿宋_GB2312"/>
          <w:sz w:val="32"/>
          <w:szCs w:val="32"/>
        </w:rPr>
        <w:t>年开始，为进一步完善省体育后备人才基地建设，提高人才基地的训练质量和训练效益，更好地发挥人才基地在湖南省业余训练的龙头、示范作用，加强湖南体育后备人才的培养，在国家体育总局创建高水平体育后备人才基地机制的启发下，结合湖南青少年体育后备人才培养工作的实际情况，湖南省体育局启动了湖南省体育后备人才培养“四强”（强项、强校、强县、强人）工程，以四年为一周期、两年进行一次中期评估；</w:t>
      </w:r>
    </w:p>
    <w:p>
      <w:pPr>
        <w:ind w:firstLine="640" w:firstLineChars="200"/>
        <w:rPr>
          <w:rFonts w:ascii="仿宋_GB2312" w:hAnsi="宋体" w:eastAsia="仿宋_GB2312"/>
          <w:kern w:val="0"/>
          <w:sz w:val="32"/>
          <w:szCs w:val="32"/>
        </w:rPr>
      </w:pPr>
      <w:r>
        <w:rPr>
          <w:rFonts w:ascii="仿宋_GB2312" w:eastAsia="仿宋_GB2312"/>
          <w:sz w:val="32"/>
          <w:szCs w:val="32"/>
        </w:rPr>
        <w:t>2017</w:t>
      </w:r>
      <w:r>
        <w:rPr>
          <w:rFonts w:hint="eastAsia" w:ascii="仿宋_GB2312" w:eastAsia="仿宋_GB2312"/>
          <w:sz w:val="32"/>
          <w:szCs w:val="32"/>
        </w:rPr>
        <w:t>年</w:t>
      </w:r>
      <w:r>
        <w:rPr>
          <w:rFonts w:hint="eastAsia" w:ascii="仿宋_GB2312" w:hAnsi="宋体" w:eastAsia="仿宋_GB2312"/>
          <w:kern w:val="0"/>
          <w:sz w:val="32"/>
          <w:szCs w:val="32"/>
        </w:rPr>
        <w:t>省财政厅扶持资金</w:t>
      </w:r>
      <w:r>
        <w:rPr>
          <w:rFonts w:ascii="仿宋_GB2312" w:hAnsi="宋体" w:eastAsia="仿宋_GB2312"/>
          <w:kern w:val="0"/>
          <w:sz w:val="32"/>
          <w:szCs w:val="32"/>
        </w:rPr>
        <w:t>500.00</w:t>
      </w:r>
      <w:r>
        <w:rPr>
          <w:rFonts w:hint="eastAsia" w:ascii="仿宋_GB2312" w:hAnsi="宋体" w:eastAsia="仿宋_GB2312"/>
          <w:kern w:val="0"/>
          <w:sz w:val="32"/>
          <w:szCs w:val="32"/>
        </w:rPr>
        <w:t>万元，主要用于各市级后备人才培养基地青少年运动员训练、竞赛等。</w:t>
      </w:r>
    </w:p>
    <w:p>
      <w:pPr>
        <w:ind w:firstLine="640" w:firstLineChars="200"/>
        <w:rPr>
          <w:rFonts w:ascii="仿宋_GB2312" w:eastAsia="仿宋_GB2312"/>
          <w:sz w:val="32"/>
          <w:szCs w:val="32"/>
        </w:rPr>
      </w:pPr>
      <w:r>
        <w:rPr>
          <w:rFonts w:hint="eastAsia" w:ascii="仿宋_GB2312" w:eastAsia="仿宋_GB2312"/>
          <w:sz w:val="32"/>
          <w:szCs w:val="32"/>
        </w:rPr>
        <w:t>立项依据为国家体育总局关于印发《国家高水平体育后备人才基地认定办法》的通知精神、湖南省体育局湘体字（[2015]5号）文件《湖南省体育局关于湖南省2015-2018年“四强”工程认定检查工作的通报》的通知精神、湖南省体育局湘青字（[2011]13号）文件《湖南省体育局关于下发湖南省体育后备人才“四强”工程创建工作检查评估办法的通知》的通知精神。根据以上立项依据中的三个文件，由湖南省体育局青少处根据各市州体育局、学校、体校等单位的实际情况和需求制定初步预算，报经湖南省体育局分管局领导审批后，将最终分配方案交湖南省体育局体育经济处。主要采用因素分配法，具体从以下几个方面考虑：各个运动项目的规模大小；涉及地域的经济发展水平、行政成本、财政状况等；地域环境、覆盖人群、人口数量、民族区域等；各市州每年向湖南省体育局输送优秀后备人才数量多少；各市州每年比赛成绩的优劣等。</w:t>
      </w:r>
    </w:p>
    <w:p>
      <w:pPr>
        <w:ind w:firstLine="640" w:firstLineChars="200"/>
        <w:rPr>
          <w:rFonts w:ascii="楷体_GB2312" w:hAnsi="宋体" w:eastAsia="楷体_GB2312"/>
          <w:sz w:val="32"/>
          <w:szCs w:val="32"/>
        </w:rPr>
      </w:pPr>
      <w:r>
        <w:rPr>
          <w:rFonts w:hint="eastAsia" w:ascii="楷体_GB2312" w:hAnsi="宋体" w:eastAsia="楷体_GB2312"/>
          <w:sz w:val="32"/>
          <w:szCs w:val="32"/>
        </w:rPr>
        <w:t>（二）项目资金到位情况</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根据</w:t>
      </w:r>
      <w:r>
        <w:rPr>
          <w:rFonts w:hint="eastAsia" w:ascii="仿宋_GB2312" w:hAnsi="宋体" w:eastAsia="仿宋_GB2312"/>
          <w:kern w:val="0"/>
          <w:sz w:val="32"/>
          <w:szCs w:val="32"/>
        </w:rPr>
        <w:t>《湖南省财政厅关于下达2017年体育经费的通知》（湘财教指【</w:t>
      </w:r>
      <w:r>
        <w:rPr>
          <w:rFonts w:ascii="仿宋_GB2312" w:hAnsi="宋体" w:eastAsia="仿宋_GB2312"/>
          <w:kern w:val="0"/>
          <w:sz w:val="32"/>
          <w:szCs w:val="32"/>
        </w:rPr>
        <w:t>2017</w:t>
      </w:r>
      <w:r>
        <w:rPr>
          <w:rFonts w:hint="eastAsia" w:ascii="仿宋_GB2312" w:hAnsi="宋体" w:eastAsia="仿宋_GB2312"/>
          <w:kern w:val="0"/>
          <w:sz w:val="32"/>
          <w:szCs w:val="32"/>
        </w:rPr>
        <w:t>】1</w:t>
      </w:r>
      <w:r>
        <w:rPr>
          <w:rFonts w:ascii="仿宋_GB2312" w:hAnsi="宋体" w:eastAsia="仿宋_GB2312"/>
          <w:kern w:val="0"/>
          <w:sz w:val="32"/>
          <w:szCs w:val="32"/>
        </w:rPr>
        <w:t>4</w:t>
      </w:r>
      <w:r>
        <w:rPr>
          <w:rFonts w:hint="eastAsia" w:ascii="仿宋_GB2312" w:hAnsi="宋体" w:eastAsia="仿宋_GB2312"/>
          <w:kern w:val="0"/>
          <w:sz w:val="32"/>
          <w:szCs w:val="32"/>
        </w:rPr>
        <w:t>号）文件</w:t>
      </w:r>
      <w:r>
        <w:rPr>
          <w:rFonts w:hint="eastAsia" w:ascii="仿宋_GB2312" w:hAnsi="宋体" w:eastAsia="仿宋_GB2312"/>
          <w:color w:val="000000"/>
          <w:sz w:val="32"/>
          <w:szCs w:val="32"/>
        </w:rPr>
        <w:t>，</w:t>
      </w:r>
      <w:r>
        <w:rPr>
          <w:rFonts w:ascii="仿宋_GB2312" w:hAnsi="宋体" w:eastAsia="仿宋_GB2312"/>
          <w:color w:val="000000"/>
          <w:sz w:val="32"/>
          <w:szCs w:val="32"/>
        </w:rPr>
        <w:t>2017</w:t>
      </w:r>
      <w:r>
        <w:rPr>
          <w:rFonts w:hint="eastAsia" w:ascii="仿宋_GB2312" w:hAnsi="宋体" w:eastAsia="仿宋_GB2312"/>
          <w:color w:val="000000"/>
          <w:sz w:val="32"/>
          <w:szCs w:val="32"/>
        </w:rPr>
        <w:t>年下拨达体育发展专项资金</w:t>
      </w:r>
      <w:r>
        <w:rPr>
          <w:rFonts w:ascii="仿宋_GB2312" w:hAnsi="宋体" w:eastAsia="仿宋_GB2312"/>
          <w:kern w:val="0"/>
          <w:sz w:val="32"/>
          <w:szCs w:val="32"/>
        </w:rPr>
        <w:t>1</w:t>
      </w:r>
      <w:r>
        <w:rPr>
          <w:rFonts w:ascii="仿宋_GB2312" w:eastAsia="仿宋_GB2312"/>
          <w:kern w:val="0"/>
          <w:sz w:val="32"/>
          <w:szCs w:val="32"/>
        </w:rPr>
        <w:t>,</w:t>
      </w:r>
      <w:r>
        <w:rPr>
          <w:rFonts w:ascii="仿宋_GB2312" w:hAnsi="宋体" w:eastAsia="仿宋_GB2312"/>
          <w:kern w:val="0"/>
          <w:sz w:val="32"/>
          <w:szCs w:val="32"/>
        </w:rPr>
        <w:t>721.00</w:t>
      </w:r>
      <w:r>
        <w:rPr>
          <w:rFonts w:hint="eastAsia" w:ascii="仿宋_GB2312" w:hAnsi="宋体" w:eastAsia="仿宋_GB2312"/>
          <w:color w:val="000000"/>
          <w:sz w:val="32"/>
          <w:szCs w:val="32"/>
        </w:rPr>
        <w:t>万元，包括运动员常年赛成绩奖金</w:t>
      </w:r>
      <w:r>
        <w:rPr>
          <w:rFonts w:ascii="仿宋_GB2312" w:hAnsi="宋体" w:eastAsia="仿宋_GB2312"/>
          <w:color w:val="000000"/>
          <w:sz w:val="32"/>
          <w:szCs w:val="32"/>
        </w:rPr>
        <w:t>500.00</w:t>
      </w:r>
      <w:r>
        <w:rPr>
          <w:rFonts w:hint="eastAsia" w:ascii="仿宋_GB2312" w:hAnsi="宋体" w:eastAsia="仿宋_GB2312"/>
          <w:color w:val="000000"/>
          <w:sz w:val="32"/>
          <w:szCs w:val="32"/>
        </w:rPr>
        <w:t>万元，</w:t>
      </w:r>
      <w:r>
        <w:rPr>
          <w:rFonts w:hint="eastAsia" w:ascii="仿宋_GB2312" w:hAnsi="宋体" w:eastAsia="仿宋_GB2312"/>
          <w:kern w:val="0"/>
          <w:sz w:val="32"/>
          <w:szCs w:val="32"/>
        </w:rPr>
        <w:t>系统内场馆维修</w:t>
      </w:r>
      <w:r>
        <w:rPr>
          <w:rFonts w:ascii="仿宋_GB2312" w:hAnsi="宋体" w:eastAsia="仿宋_GB2312"/>
          <w:color w:val="000000"/>
          <w:sz w:val="32"/>
          <w:szCs w:val="32"/>
        </w:rPr>
        <w:t>321.00</w:t>
      </w:r>
      <w:r>
        <w:rPr>
          <w:rFonts w:hint="eastAsia" w:ascii="仿宋_GB2312" w:hAnsi="宋体" w:eastAsia="仿宋_GB2312"/>
          <w:color w:val="000000"/>
          <w:sz w:val="32"/>
          <w:szCs w:val="32"/>
        </w:rPr>
        <w:t>万元，</w:t>
      </w:r>
      <w:r>
        <w:rPr>
          <w:rFonts w:hint="eastAsia" w:ascii="仿宋_GB2312" w:hAnsi="宋体" w:eastAsia="仿宋_GB2312"/>
          <w:kern w:val="0"/>
          <w:sz w:val="32"/>
          <w:szCs w:val="32"/>
        </w:rPr>
        <w:t>群众体育活动</w:t>
      </w:r>
      <w:r>
        <w:rPr>
          <w:rFonts w:ascii="仿宋_GB2312" w:hAnsi="宋体" w:eastAsia="仿宋_GB2312"/>
          <w:color w:val="000000"/>
          <w:sz w:val="32"/>
          <w:szCs w:val="32"/>
        </w:rPr>
        <w:t>100.00</w:t>
      </w:r>
      <w:r>
        <w:rPr>
          <w:rFonts w:hint="eastAsia" w:ascii="仿宋_GB2312" w:hAnsi="宋体" w:eastAsia="仿宋_GB2312"/>
          <w:color w:val="000000"/>
          <w:sz w:val="32"/>
          <w:szCs w:val="32"/>
        </w:rPr>
        <w:t>万元，</w:t>
      </w:r>
      <w:r>
        <w:rPr>
          <w:rFonts w:hint="eastAsia" w:ascii="仿宋_GB2312" w:hAnsi="宋体" w:eastAsia="仿宋_GB2312"/>
          <w:kern w:val="0"/>
          <w:sz w:val="32"/>
          <w:szCs w:val="32"/>
        </w:rPr>
        <w:t>群众体育设施维修</w:t>
      </w:r>
      <w:r>
        <w:rPr>
          <w:rFonts w:ascii="仿宋_GB2312" w:hAnsi="宋体" w:eastAsia="仿宋_GB2312"/>
          <w:kern w:val="0"/>
          <w:sz w:val="32"/>
          <w:szCs w:val="32"/>
        </w:rPr>
        <w:t>300.00</w:t>
      </w:r>
      <w:r>
        <w:rPr>
          <w:rFonts w:hint="eastAsia" w:ascii="仿宋_GB2312" w:hAnsi="宋体" w:eastAsia="仿宋_GB2312"/>
          <w:kern w:val="0"/>
          <w:sz w:val="32"/>
          <w:szCs w:val="32"/>
        </w:rPr>
        <w:t>万元，体育后备人才培养</w:t>
      </w:r>
      <w:r>
        <w:rPr>
          <w:rFonts w:ascii="仿宋_GB2312" w:hAnsi="宋体" w:eastAsia="仿宋_GB2312"/>
          <w:kern w:val="0"/>
          <w:sz w:val="32"/>
          <w:szCs w:val="32"/>
        </w:rPr>
        <w:t>500.00</w:t>
      </w:r>
      <w:r>
        <w:rPr>
          <w:rFonts w:hint="eastAsia" w:ascii="仿宋_GB2312" w:hAnsi="宋体" w:eastAsia="仿宋_GB2312"/>
          <w:kern w:val="0"/>
          <w:sz w:val="32"/>
          <w:szCs w:val="32"/>
        </w:rPr>
        <w:t>万元</w:t>
      </w:r>
      <w:r>
        <w:rPr>
          <w:rFonts w:hint="eastAsia" w:ascii="仿宋_GB2312" w:hAnsi="宋体" w:eastAsia="仿宋_GB2312"/>
          <w:color w:val="000000"/>
          <w:sz w:val="32"/>
          <w:szCs w:val="32"/>
        </w:rPr>
        <w:t>。湖南省体育局系统各单位</w:t>
      </w:r>
      <w:r>
        <w:rPr>
          <w:rFonts w:ascii="仿宋_GB2312" w:hAnsi="宋体" w:eastAsia="仿宋_GB2312"/>
          <w:color w:val="000000"/>
          <w:sz w:val="32"/>
          <w:szCs w:val="32"/>
        </w:rPr>
        <w:t>821.00</w:t>
      </w:r>
      <w:r>
        <w:rPr>
          <w:rFonts w:hint="eastAsia" w:ascii="仿宋_GB2312" w:hAnsi="宋体" w:eastAsia="仿宋_GB2312"/>
          <w:color w:val="000000"/>
          <w:sz w:val="32"/>
          <w:szCs w:val="32"/>
        </w:rPr>
        <w:t>万元，长沙市芙蓉区政府60.00万元，湖南省体科所40万元，市县转移支付</w:t>
      </w:r>
      <w:r>
        <w:rPr>
          <w:rFonts w:ascii="仿宋_GB2312" w:hAnsi="宋体" w:eastAsia="仿宋_GB2312"/>
          <w:color w:val="000000"/>
          <w:sz w:val="32"/>
          <w:szCs w:val="32"/>
        </w:rPr>
        <w:t>800.00</w:t>
      </w:r>
      <w:r>
        <w:rPr>
          <w:rFonts w:hint="eastAsia" w:ascii="仿宋_GB2312" w:hAnsi="宋体" w:eastAsia="仿宋_GB2312"/>
          <w:color w:val="000000"/>
          <w:sz w:val="32"/>
          <w:szCs w:val="32"/>
        </w:rPr>
        <w:t>万元，到位资金</w:t>
      </w:r>
      <w:r>
        <w:rPr>
          <w:rFonts w:ascii="仿宋_GB2312" w:hAnsi="宋体" w:eastAsia="仿宋_GB2312"/>
          <w:kern w:val="0"/>
          <w:sz w:val="32"/>
          <w:szCs w:val="32"/>
        </w:rPr>
        <w:t>1</w:t>
      </w:r>
      <w:r>
        <w:rPr>
          <w:rFonts w:hint="eastAsia" w:ascii="仿宋_GB2312" w:hAnsi="宋体" w:eastAsia="仿宋_GB2312"/>
          <w:kern w:val="0"/>
          <w:sz w:val="32"/>
          <w:szCs w:val="32"/>
        </w:rPr>
        <w:t>,7</w:t>
      </w:r>
      <w:r>
        <w:rPr>
          <w:rFonts w:ascii="仿宋_GB2312" w:hAnsi="宋体" w:eastAsia="仿宋_GB2312"/>
          <w:kern w:val="0"/>
          <w:sz w:val="32"/>
          <w:szCs w:val="32"/>
        </w:rPr>
        <w:t>21.00</w:t>
      </w:r>
      <w:r>
        <w:rPr>
          <w:rFonts w:hint="eastAsia" w:ascii="仿宋_GB2312" w:hAnsi="宋体" w:eastAsia="仿宋_GB2312"/>
          <w:color w:val="000000"/>
          <w:sz w:val="32"/>
          <w:szCs w:val="32"/>
        </w:rPr>
        <w:t>万元，资金到位率</w:t>
      </w:r>
      <w:r>
        <w:rPr>
          <w:rFonts w:ascii="仿宋_GB2312" w:hAnsi="宋体" w:eastAsia="仿宋_GB2312"/>
          <w:color w:val="000000"/>
          <w:sz w:val="32"/>
          <w:szCs w:val="32"/>
        </w:rPr>
        <w:t>100%</w:t>
      </w:r>
      <w:r>
        <w:rPr>
          <w:rFonts w:hint="eastAsia" w:ascii="仿宋_GB2312" w:hAnsi="宋体" w:eastAsia="仿宋_GB2312"/>
          <w:color w:val="000000"/>
          <w:sz w:val="32"/>
          <w:szCs w:val="32"/>
        </w:rPr>
        <w:t>。体育发展专项公共财政拨款明细如下表（单位：万元）：</w:t>
      </w:r>
    </w:p>
    <w:tbl>
      <w:tblPr>
        <w:tblStyle w:val="15"/>
        <w:tblW w:w="9039" w:type="dxa"/>
        <w:tblInd w:w="108"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2552"/>
        <w:gridCol w:w="1146"/>
        <w:gridCol w:w="1134"/>
        <w:gridCol w:w="851"/>
        <w:gridCol w:w="1122"/>
        <w:gridCol w:w="1134"/>
        <w:gridCol w:w="1100"/>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blHeader/>
        </w:trPr>
        <w:tc>
          <w:tcPr>
            <w:tcW w:w="2552"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w:t>
            </w:r>
          </w:p>
        </w:tc>
        <w:tc>
          <w:tcPr>
            <w:tcW w:w="1146"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下达资金</w:t>
            </w:r>
          </w:p>
        </w:tc>
        <w:tc>
          <w:tcPr>
            <w:tcW w:w="1134" w:type="dxa"/>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分配资金</w:t>
            </w:r>
          </w:p>
        </w:tc>
        <w:tc>
          <w:tcPr>
            <w:tcW w:w="4207" w:type="dxa"/>
            <w:gridSpan w:val="4"/>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资金分配</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blHeader/>
        </w:trPr>
        <w:tc>
          <w:tcPr>
            <w:tcW w:w="2552" w:type="dxa"/>
            <w:vMerge w:val="continue"/>
            <w:vAlign w:val="center"/>
          </w:tcPr>
          <w:p>
            <w:pPr>
              <w:widowControl/>
              <w:jc w:val="left"/>
              <w:rPr>
                <w:rFonts w:ascii="仿宋_GB2312" w:hAnsi="宋体" w:eastAsia="仿宋_GB2312" w:cs="宋体"/>
                <w:color w:val="000000"/>
                <w:kern w:val="0"/>
                <w:szCs w:val="21"/>
              </w:rPr>
            </w:pPr>
          </w:p>
        </w:tc>
        <w:tc>
          <w:tcPr>
            <w:tcW w:w="1146" w:type="dxa"/>
            <w:vMerge w:val="continue"/>
            <w:vAlign w:val="center"/>
          </w:tcPr>
          <w:p>
            <w:pPr>
              <w:widowControl/>
              <w:jc w:val="left"/>
              <w:rPr>
                <w:rFonts w:ascii="仿宋_GB2312" w:hAnsi="宋体" w:eastAsia="仿宋_GB2312" w:cs="宋体"/>
                <w:color w:val="000000"/>
                <w:kern w:val="0"/>
                <w:szCs w:val="21"/>
              </w:rPr>
            </w:pPr>
          </w:p>
        </w:tc>
        <w:tc>
          <w:tcPr>
            <w:tcW w:w="1134" w:type="dxa"/>
            <w:vMerge w:val="continue"/>
            <w:vAlign w:val="center"/>
          </w:tcPr>
          <w:p>
            <w:pPr>
              <w:widowControl/>
              <w:jc w:val="left"/>
              <w:rPr>
                <w:rFonts w:ascii="仿宋_GB2312" w:hAnsi="宋体" w:eastAsia="仿宋_GB2312" w:cs="宋体"/>
                <w:color w:val="000000"/>
                <w:kern w:val="0"/>
                <w:szCs w:val="21"/>
              </w:rPr>
            </w:pPr>
          </w:p>
        </w:tc>
        <w:tc>
          <w:tcPr>
            <w:tcW w:w="851"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局本级</w:t>
            </w:r>
          </w:p>
        </w:tc>
        <w:tc>
          <w:tcPr>
            <w:tcW w:w="1122"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直属单位</w:t>
            </w:r>
          </w:p>
        </w:tc>
        <w:tc>
          <w:tcPr>
            <w:tcW w:w="1134"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14个市州县体育局</w:t>
            </w:r>
          </w:p>
        </w:tc>
        <w:tc>
          <w:tcPr>
            <w:tcW w:w="1100" w:type="dxa"/>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其他单位</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25" w:hRule="atLeast"/>
        </w:trPr>
        <w:tc>
          <w:tcPr>
            <w:tcW w:w="2552" w:type="dxa"/>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运动员常年赛成绩奖金</w:t>
            </w:r>
          </w:p>
        </w:tc>
        <w:tc>
          <w:tcPr>
            <w:tcW w:w="1146"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500.00 </w:t>
            </w:r>
          </w:p>
        </w:tc>
        <w:tc>
          <w:tcPr>
            <w:tcW w:w="1134"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500.00 </w:t>
            </w:r>
          </w:p>
        </w:tc>
        <w:tc>
          <w:tcPr>
            <w:tcW w:w="851"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w:t>
            </w:r>
          </w:p>
        </w:tc>
        <w:tc>
          <w:tcPr>
            <w:tcW w:w="1122"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500.00 </w:t>
            </w:r>
          </w:p>
        </w:tc>
        <w:tc>
          <w:tcPr>
            <w:tcW w:w="1134"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w:t>
            </w:r>
          </w:p>
        </w:tc>
        <w:tc>
          <w:tcPr>
            <w:tcW w:w="1100"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2552" w:type="dxa"/>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系统内场馆维修资金</w:t>
            </w:r>
          </w:p>
        </w:tc>
        <w:tc>
          <w:tcPr>
            <w:tcW w:w="1146"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321.00 </w:t>
            </w:r>
          </w:p>
        </w:tc>
        <w:tc>
          <w:tcPr>
            <w:tcW w:w="1134"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321.00 </w:t>
            </w:r>
          </w:p>
        </w:tc>
        <w:tc>
          <w:tcPr>
            <w:tcW w:w="851"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91.00 </w:t>
            </w:r>
          </w:p>
        </w:tc>
        <w:tc>
          <w:tcPr>
            <w:tcW w:w="1122"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190.00 </w:t>
            </w:r>
          </w:p>
        </w:tc>
        <w:tc>
          <w:tcPr>
            <w:tcW w:w="1134"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w:t>
            </w:r>
          </w:p>
        </w:tc>
        <w:tc>
          <w:tcPr>
            <w:tcW w:w="1100"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40.00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2552" w:type="dxa"/>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群众体育活动专项资金</w:t>
            </w:r>
          </w:p>
        </w:tc>
        <w:tc>
          <w:tcPr>
            <w:tcW w:w="1146"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100.00 </w:t>
            </w:r>
          </w:p>
        </w:tc>
        <w:tc>
          <w:tcPr>
            <w:tcW w:w="1134"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100.00 </w:t>
            </w:r>
          </w:p>
        </w:tc>
        <w:tc>
          <w:tcPr>
            <w:tcW w:w="851"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w:t>
            </w:r>
          </w:p>
        </w:tc>
        <w:tc>
          <w:tcPr>
            <w:tcW w:w="1122"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40.00 </w:t>
            </w:r>
          </w:p>
        </w:tc>
        <w:tc>
          <w:tcPr>
            <w:tcW w:w="1134"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w:t>
            </w:r>
          </w:p>
        </w:tc>
        <w:tc>
          <w:tcPr>
            <w:tcW w:w="1100"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60.00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2552" w:type="dxa"/>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群众体育设施维修</w:t>
            </w:r>
          </w:p>
        </w:tc>
        <w:tc>
          <w:tcPr>
            <w:tcW w:w="1146"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300.00 </w:t>
            </w:r>
          </w:p>
        </w:tc>
        <w:tc>
          <w:tcPr>
            <w:tcW w:w="1134"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300.00 </w:t>
            </w:r>
          </w:p>
        </w:tc>
        <w:tc>
          <w:tcPr>
            <w:tcW w:w="851"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w:t>
            </w:r>
          </w:p>
        </w:tc>
        <w:tc>
          <w:tcPr>
            <w:tcW w:w="1122"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w:t>
            </w:r>
          </w:p>
        </w:tc>
        <w:tc>
          <w:tcPr>
            <w:tcW w:w="1134"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300.00 </w:t>
            </w:r>
          </w:p>
        </w:tc>
        <w:tc>
          <w:tcPr>
            <w:tcW w:w="1100"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10" w:hRule="atLeast"/>
        </w:trPr>
        <w:tc>
          <w:tcPr>
            <w:tcW w:w="2552" w:type="dxa"/>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体育后备人才培养</w:t>
            </w:r>
          </w:p>
        </w:tc>
        <w:tc>
          <w:tcPr>
            <w:tcW w:w="1146"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500.00 </w:t>
            </w:r>
          </w:p>
        </w:tc>
        <w:tc>
          <w:tcPr>
            <w:tcW w:w="1134"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500.00 </w:t>
            </w:r>
          </w:p>
        </w:tc>
        <w:tc>
          <w:tcPr>
            <w:tcW w:w="851"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w:t>
            </w:r>
          </w:p>
        </w:tc>
        <w:tc>
          <w:tcPr>
            <w:tcW w:w="1122"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w:t>
            </w:r>
          </w:p>
        </w:tc>
        <w:tc>
          <w:tcPr>
            <w:tcW w:w="1134"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w:t>
            </w:r>
          </w:p>
        </w:tc>
        <w:tc>
          <w:tcPr>
            <w:tcW w:w="1100"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500.00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rPr>
        <w:tc>
          <w:tcPr>
            <w:tcW w:w="2552" w:type="dxa"/>
            <w:shd w:val="clear" w:color="auto" w:fill="auto"/>
            <w:vAlign w:val="center"/>
          </w:tcPr>
          <w:p>
            <w:pPr>
              <w:widowControl/>
              <w:jc w:val="left"/>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    合   计</w:t>
            </w:r>
          </w:p>
        </w:tc>
        <w:tc>
          <w:tcPr>
            <w:tcW w:w="1146"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1,721.00 </w:t>
            </w:r>
          </w:p>
        </w:tc>
        <w:tc>
          <w:tcPr>
            <w:tcW w:w="1134"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1,721.00 </w:t>
            </w:r>
          </w:p>
        </w:tc>
        <w:tc>
          <w:tcPr>
            <w:tcW w:w="851"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91.00 </w:t>
            </w:r>
          </w:p>
        </w:tc>
        <w:tc>
          <w:tcPr>
            <w:tcW w:w="1122"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730.00 </w:t>
            </w:r>
          </w:p>
        </w:tc>
        <w:tc>
          <w:tcPr>
            <w:tcW w:w="1134"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300.00 </w:t>
            </w:r>
          </w:p>
        </w:tc>
        <w:tc>
          <w:tcPr>
            <w:tcW w:w="1100" w:type="dxa"/>
            <w:shd w:val="clear" w:color="auto" w:fill="auto"/>
            <w:vAlign w:val="center"/>
          </w:tcPr>
          <w:p>
            <w:pPr>
              <w:widowControl/>
              <w:jc w:val="right"/>
              <w:rPr>
                <w:rFonts w:ascii="Arial Narrow" w:hAnsi="Arial Narrow" w:eastAsia="仿宋_GB2312" w:cs="宋体"/>
                <w:color w:val="000000"/>
                <w:kern w:val="0"/>
                <w:szCs w:val="21"/>
              </w:rPr>
            </w:pPr>
            <w:r>
              <w:rPr>
                <w:rFonts w:ascii="Arial Narrow" w:hAnsi="Arial Narrow" w:eastAsia="仿宋_GB2312" w:cs="宋体"/>
                <w:color w:val="000000"/>
                <w:kern w:val="0"/>
                <w:szCs w:val="21"/>
              </w:rPr>
              <w:t xml:space="preserve">  600.00 </w:t>
            </w:r>
          </w:p>
        </w:tc>
      </w:tr>
    </w:tbl>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（三）项目资金使用情况</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截止</w:t>
      </w:r>
      <w:r>
        <w:rPr>
          <w:rFonts w:ascii="仿宋_GB2312" w:hAnsi="宋体" w:eastAsia="仿宋_GB2312"/>
          <w:color w:val="000000"/>
          <w:sz w:val="32"/>
          <w:szCs w:val="32"/>
        </w:rPr>
        <w:t>2017</w:t>
      </w:r>
      <w:r>
        <w:rPr>
          <w:rFonts w:hint="eastAsia" w:ascii="仿宋_GB2312" w:hAnsi="宋体" w:eastAsia="仿宋_GB2312"/>
          <w:color w:val="000000"/>
          <w:sz w:val="32"/>
          <w:szCs w:val="32"/>
        </w:rPr>
        <w:t>年</w:t>
      </w:r>
      <w:r>
        <w:rPr>
          <w:rFonts w:ascii="仿宋_GB2312" w:hAnsi="宋体" w:eastAsia="仿宋_GB2312"/>
          <w:color w:val="000000"/>
          <w:sz w:val="32"/>
          <w:szCs w:val="32"/>
        </w:rPr>
        <w:t>12</w:t>
      </w:r>
      <w:r>
        <w:rPr>
          <w:rFonts w:hint="eastAsia" w:ascii="仿宋_GB2312" w:hAnsi="宋体" w:eastAsia="仿宋_GB2312"/>
          <w:color w:val="000000"/>
          <w:sz w:val="32"/>
          <w:szCs w:val="32"/>
        </w:rPr>
        <w:t>月</w:t>
      </w:r>
      <w:r>
        <w:rPr>
          <w:rFonts w:ascii="仿宋_GB2312" w:hAnsi="宋体" w:eastAsia="仿宋_GB2312"/>
          <w:color w:val="000000"/>
          <w:sz w:val="32"/>
          <w:szCs w:val="32"/>
        </w:rPr>
        <w:t>31</w:t>
      </w:r>
      <w:r>
        <w:rPr>
          <w:rFonts w:hint="eastAsia" w:ascii="仿宋_GB2312" w:hAnsi="宋体" w:eastAsia="仿宋_GB2312"/>
          <w:color w:val="000000"/>
          <w:sz w:val="32"/>
          <w:szCs w:val="32"/>
        </w:rPr>
        <w:t>日体育发展专项经费共支出</w:t>
      </w:r>
      <w:r>
        <w:rPr>
          <w:rFonts w:ascii="仿宋_GB2312" w:hAnsi="宋体" w:eastAsia="仿宋_GB2312"/>
          <w:color w:val="000000"/>
          <w:sz w:val="32"/>
          <w:szCs w:val="32"/>
        </w:rPr>
        <w:t>1,353.51</w:t>
      </w:r>
      <w:r>
        <w:rPr>
          <w:rFonts w:hint="eastAsia" w:ascii="仿宋_GB2312" w:hAnsi="宋体" w:eastAsia="仿宋_GB2312"/>
          <w:color w:val="000000"/>
          <w:sz w:val="32"/>
          <w:szCs w:val="32"/>
        </w:rPr>
        <w:t>万元，结余</w:t>
      </w:r>
      <w:r>
        <w:rPr>
          <w:rFonts w:ascii="仿宋_GB2312" w:hAnsi="宋体" w:eastAsia="仿宋_GB2312"/>
          <w:color w:val="000000"/>
          <w:sz w:val="32"/>
          <w:szCs w:val="32"/>
        </w:rPr>
        <w:t>367.49</w:t>
      </w:r>
      <w:r>
        <w:rPr>
          <w:rFonts w:hint="eastAsia" w:ascii="仿宋_GB2312" w:hAnsi="宋体" w:eastAsia="仿宋_GB2312"/>
          <w:color w:val="000000"/>
          <w:sz w:val="32"/>
          <w:szCs w:val="32"/>
        </w:rPr>
        <w:t>万元，资金使用率</w:t>
      </w:r>
      <w:r>
        <w:rPr>
          <w:rFonts w:ascii="仿宋_GB2312" w:hAnsi="宋体" w:eastAsia="仿宋_GB2312"/>
          <w:color w:val="000000"/>
          <w:sz w:val="32"/>
          <w:szCs w:val="32"/>
        </w:rPr>
        <w:t>78.65</w:t>
      </w:r>
      <w:r>
        <w:rPr>
          <w:rFonts w:hint="eastAsia" w:ascii="仿宋_GB2312" w:hAnsi="宋体" w:eastAsia="仿宋_GB2312"/>
          <w:color w:val="000000"/>
          <w:sz w:val="32"/>
          <w:szCs w:val="32"/>
        </w:rPr>
        <w:t>%。各专项资金使用及结余情况如下（单位：万元）：</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2017年体育发展专项项目省级财政资金基础数据表</w:t>
      </w:r>
    </w:p>
    <w:tbl>
      <w:tblPr>
        <w:tblStyle w:val="15"/>
        <w:tblW w:w="8946"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721"/>
        <w:gridCol w:w="2047"/>
        <w:gridCol w:w="1968"/>
        <w:gridCol w:w="1120"/>
        <w:gridCol w:w="1122"/>
        <w:gridCol w:w="1122"/>
        <w:gridCol w:w="846"/>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0" w:hRule="atLeast"/>
          <w:tblHeader/>
        </w:trPr>
        <w:tc>
          <w:tcPr>
            <w:tcW w:w="721" w:type="dxa"/>
            <w:vMerge w:val="restart"/>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序号</w:t>
            </w:r>
          </w:p>
        </w:tc>
        <w:tc>
          <w:tcPr>
            <w:tcW w:w="2047" w:type="dxa"/>
            <w:vMerge w:val="restart"/>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单位</w:t>
            </w:r>
          </w:p>
        </w:tc>
        <w:tc>
          <w:tcPr>
            <w:tcW w:w="1968" w:type="dxa"/>
            <w:vMerge w:val="restart"/>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项目名称</w:t>
            </w:r>
          </w:p>
        </w:tc>
        <w:tc>
          <w:tcPr>
            <w:tcW w:w="4210" w:type="dxa"/>
            <w:gridSpan w:val="4"/>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项目资金及使用情况（万元）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419" w:hRule="atLeast"/>
          <w:tblHeader/>
        </w:trPr>
        <w:tc>
          <w:tcPr>
            <w:tcW w:w="721" w:type="dxa"/>
            <w:vMerge w:val="continue"/>
            <w:vAlign w:val="center"/>
          </w:tcPr>
          <w:p>
            <w:pPr>
              <w:widowControl/>
              <w:jc w:val="left"/>
              <w:rPr>
                <w:rFonts w:ascii="仿宋_GB2312" w:hAnsi="宋体" w:eastAsia="仿宋_GB2312" w:cs="宋体"/>
                <w:color w:val="000000"/>
                <w:kern w:val="0"/>
                <w:sz w:val="22"/>
                <w:szCs w:val="22"/>
              </w:rPr>
            </w:pPr>
          </w:p>
        </w:tc>
        <w:tc>
          <w:tcPr>
            <w:tcW w:w="2047" w:type="dxa"/>
            <w:vMerge w:val="continue"/>
            <w:vAlign w:val="center"/>
          </w:tcPr>
          <w:p>
            <w:pPr>
              <w:widowControl/>
              <w:jc w:val="left"/>
              <w:rPr>
                <w:rFonts w:ascii="仿宋_GB2312" w:hAnsi="宋体" w:eastAsia="仿宋_GB2312" w:cs="宋体"/>
                <w:color w:val="000000"/>
                <w:kern w:val="0"/>
                <w:sz w:val="22"/>
                <w:szCs w:val="22"/>
              </w:rPr>
            </w:pPr>
          </w:p>
        </w:tc>
        <w:tc>
          <w:tcPr>
            <w:tcW w:w="1968" w:type="dxa"/>
            <w:vMerge w:val="continue"/>
            <w:vAlign w:val="center"/>
          </w:tcPr>
          <w:p>
            <w:pPr>
              <w:widowControl/>
              <w:jc w:val="left"/>
              <w:rPr>
                <w:rFonts w:ascii="仿宋_GB2312" w:hAnsi="宋体" w:eastAsia="仿宋_GB2312" w:cs="宋体"/>
                <w:color w:val="000000"/>
                <w:kern w:val="0"/>
                <w:sz w:val="22"/>
                <w:szCs w:val="22"/>
              </w:rPr>
            </w:pPr>
          </w:p>
        </w:tc>
        <w:tc>
          <w:tcPr>
            <w:tcW w:w="1120"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预算资金</w:t>
            </w:r>
          </w:p>
        </w:tc>
        <w:tc>
          <w:tcPr>
            <w:tcW w:w="1122"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实际到位</w:t>
            </w:r>
          </w:p>
        </w:tc>
        <w:tc>
          <w:tcPr>
            <w:tcW w:w="1122"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实际使用</w:t>
            </w:r>
          </w:p>
        </w:tc>
        <w:tc>
          <w:tcPr>
            <w:tcW w:w="846"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节余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565" w:hRule="atLeast"/>
        </w:trPr>
        <w:tc>
          <w:tcPr>
            <w:tcW w:w="4736" w:type="dxa"/>
            <w:gridSpan w:val="3"/>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 计</w:t>
            </w:r>
          </w:p>
        </w:tc>
        <w:tc>
          <w:tcPr>
            <w:tcW w:w="1120" w:type="dxa"/>
            <w:shd w:val="clear" w:color="auto" w:fill="auto"/>
            <w:vAlign w:val="center"/>
          </w:tcPr>
          <w:p>
            <w:pPr>
              <w:widowControl/>
              <w:jc w:val="center"/>
              <w:rPr>
                <w:rFonts w:ascii="Arial Narrow" w:hAnsi="Arial Narrow" w:cs="宋体"/>
                <w:b/>
                <w:bCs/>
                <w:color w:val="000000"/>
                <w:kern w:val="0"/>
                <w:sz w:val="22"/>
                <w:szCs w:val="22"/>
              </w:rPr>
            </w:pPr>
            <w:r>
              <w:rPr>
                <w:rFonts w:ascii="Arial Narrow" w:hAnsi="Arial Narrow" w:cs="宋体"/>
                <w:b/>
                <w:bCs/>
                <w:color w:val="000000"/>
                <w:kern w:val="0"/>
                <w:sz w:val="22"/>
                <w:szCs w:val="22"/>
              </w:rPr>
              <w:t>1,721.00</w:t>
            </w:r>
          </w:p>
        </w:tc>
        <w:tc>
          <w:tcPr>
            <w:tcW w:w="1122" w:type="dxa"/>
            <w:shd w:val="clear" w:color="auto" w:fill="auto"/>
            <w:vAlign w:val="center"/>
          </w:tcPr>
          <w:p>
            <w:pPr>
              <w:widowControl/>
              <w:jc w:val="center"/>
              <w:rPr>
                <w:rFonts w:ascii="Arial Narrow" w:hAnsi="Arial Narrow" w:cs="宋体"/>
                <w:b/>
                <w:bCs/>
                <w:color w:val="000000"/>
                <w:kern w:val="0"/>
                <w:sz w:val="22"/>
                <w:szCs w:val="22"/>
              </w:rPr>
            </w:pPr>
            <w:r>
              <w:rPr>
                <w:rFonts w:ascii="Arial Narrow" w:hAnsi="Arial Narrow" w:cs="宋体"/>
                <w:b/>
                <w:bCs/>
                <w:color w:val="000000"/>
                <w:kern w:val="0"/>
                <w:sz w:val="22"/>
                <w:szCs w:val="22"/>
              </w:rPr>
              <w:t>1,721.00</w:t>
            </w:r>
          </w:p>
        </w:tc>
        <w:tc>
          <w:tcPr>
            <w:tcW w:w="1122" w:type="dxa"/>
            <w:shd w:val="clear" w:color="auto" w:fill="auto"/>
            <w:vAlign w:val="center"/>
          </w:tcPr>
          <w:p>
            <w:pPr>
              <w:widowControl/>
              <w:jc w:val="center"/>
              <w:rPr>
                <w:rFonts w:ascii="Arial Narrow" w:hAnsi="Arial Narrow" w:cs="宋体"/>
                <w:b/>
                <w:bCs/>
                <w:color w:val="000000"/>
                <w:kern w:val="0"/>
                <w:sz w:val="22"/>
                <w:szCs w:val="22"/>
              </w:rPr>
            </w:pPr>
            <w:r>
              <w:rPr>
                <w:rFonts w:ascii="Arial Narrow" w:hAnsi="Arial Narrow" w:cs="宋体"/>
                <w:b/>
                <w:bCs/>
                <w:color w:val="000000"/>
                <w:kern w:val="0"/>
                <w:sz w:val="22"/>
                <w:szCs w:val="22"/>
              </w:rPr>
              <w:t>1,353.51</w:t>
            </w:r>
          </w:p>
        </w:tc>
        <w:tc>
          <w:tcPr>
            <w:tcW w:w="846" w:type="dxa"/>
            <w:shd w:val="clear" w:color="auto" w:fill="auto"/>
            <w:vAlign w:val="center"/>
          </w:tcPr>
          <w:p>
            <w:pPr>
              <w:widowControl/>
              <w:jc w:val="center"/>
              <w:rPr>
                <w:rFonts w:ascii="Arial Narrow" w:hAnsi="Arial Narrow" w:cs="宋体"/>
                <w:b/>
                <w:bCs/>
                <w:color w:val="000000"/>
                <w:kern w:val="0"/>
                <w:sz w:val="22"/>
                <w:szCs w:val="22"/>
              </w:rPr>
            </w:pPr>
            <w:r>
              <w:rPr>
                <w:rFonts w:ascii="Arial Narrow" w:hAnsi="Arial Narrow" w:cs="宋体"/>
                <w:b/>
                <w:bCs/>
                <w:color w:val="000000"/>
                <w:kern w:val="0"/>
                <w:sz w:val="22"/>
                <w:szCs w:val="22"/>
              </w:rPr>
              <w:t>367.49</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1</w:t>
            </w:r>
          </w:p>
        </w:tc>
        <w:tc>
          <w:tcPr>
            <w:tcW w:w="2047"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局二级单位</w:t>
            </w:r>
          </w:p>
        </w:tc>
        <w:tc>
          <w:tcPr>
            <w:tcW w:w="1968"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运动员常年赛成绩奖金</w:t>
            </w:r>
          </w:p>
        </w:tc>
        <w:tc>
          <w:tcPr>
            <w:tcW w:w="1120" w:type="dxa"/>
            <w:shd w:val="clear" w:color="auto" w:fill="auto"/>
            <w:vAlign w:val="center"/>
          </w:tcPr>
          <w:p>
            <w:pPr>
              <w:widowControl/>
              <w:jc w:val="center"/>
              <w:rPr>
                <w:rFonts w:ascii="Arial Narrow" w:hAnsi="Arial Narrow" w:cs="宋体"/>
                <w:b/>
                <w:color w:val="000000"/>
                <w:kern w:val="0"/>
                <w:sz w:val="22"/>
                <w:szCs w:val="22"/>
              </w:rPr>
            </w:pPr>
            <w:r>
              <w:rPr>
                <w:rFonts w:ascii="Arial Narrow" w:hAnsi="Arial Narrow" w:cs="宋体"/>
                <w:b/>
                <w:color w:val="000000"/>
                <w:kern w:val="0"/>
                <w:sz w:val="22"/>
                <w:szCs w:val="22"/>
              </w:rPr>
              <w:t>500.00</w:t>
            </w:r>
          </w:p>
        </w:tc>
        <w:tc>
          <w:tcPr>
            <w:tcW w:w="1122" w:type="dxa"/>
            <w:shd w:val="clear" w:color="auto" w:fill="auto"/>
            <w:vAlign w:val="center"/>
          </w:tcPr>
          <w:p>
            <w:pPr>
              <w:widowControl/>
              <w:jc w:val="center"/>
              <w:rPr>
                <w:rFonts w:ascii="Arial Narrow" w:hAnsi="Arial Narrow" w:cs="宋体"/>
                <w:b/>
                <w:color w:val="000000"/>
                <w:kern w:val="0"/>
                <w:sz w:val="22"/>
                <w:szCs w:val="22"/>
              </w:rPr>
            </w:pPr>
            <w:r>
              <w:rPr>
                <w:rFonts w:ascii="Arial Narrow" w:hAnsi="Arial Narrow" w:cs="宋体"/>
                <w:b/>
                <w:color w:val="000000"/>
                <w:kern w:val="0"/>
                <w:sz w:val="22"/>
                <w:szCs w:val="22"/>
              </w:rPr>
              <w:t>500.00</w:t>
            </w:r>
          </w:p>
        </w:tc>
        <w:tc>
          <w:tcPr>
            <w:tcW w:w="1122" w:type="dxa"/>
            <w:shd w:val="clear" w:color="auto" w:fill="auto"/>
            <w:vAlign w:val="center"/>
          </w:tcPr>
          <w:p>
            <w:pPr>
              <w:widowControl/>
              <w:jc w:val="center"/>
              <w:rPr>
                <w:rFonts w:ascii="Arial Narrow" w:hAnsi="Arial Narrow" w:cs="宋体"/>
                <w:b/>
                <w:color w:val="000000"/>
                <w:kern w:val="0"/>
                <w:sz w:val="22"/>
                <w:szCs w:val="22"/>
              </w:rPr>
            </w:pPr>
            <w:r>
              <w:rPr>
                <w:rFonts w:ascii="Arial Narrow" w:hAnsi="Arial Narrow" w:cs="宋体"/>
                <w:b/>
                <w:color w:val="000000"/>
                <w:kern w:val="0"/>
                <w:sz w:val="22"/>
                <w:szCs w:val="22"/>
              </w:rPr>
              <w:t>400.00</w:t>
            </w:r>
          </w:p>
        </w:tc>
        <w:tc>
          <w:tcPr>
            <w:tcW w:w="846" w:type="dxa"/>
            <w:shd w:val="clear" w:color="auto" w:fill="auto"/>
            <w:vAlign w:val="center"/>
          </w:tcPr>
          <w:p>
            <w:pPr>
              <w:widowControl/>
              <w:jc w:val="center"/>
              <w:rPr>
                <w:rFonts w:ascii="Arial Narrow" w:hAnsi="Arial Narrow" w:cs="宋体"/>
                <w:b/>
                <w:color w:val="000000"/>
                <w:kern w:val="0"/>
                <w:sz w:val="22"/>
                <w:szCs w:val="22"/>
              </w:rPr>
            </w:pPr>
            <w:r>
              <w:rPr>
                <w:rFonts w:ascii="Arial Narrow" w:hAnsi="Arial Narrow" w:cs="宋体"/>
                <w:b/>
                <w:color w:val="000000"/>
                <w:kern w:val="0"/>
                <w:sz w:val="22"/>
                <w:szCs w:val="22"/>
              </w:rPr>
              <w:t>100.00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省羽毛球乒乓球运动管理中心</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11.21</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11.21</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11.21</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省田径运动管理中心</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32.07</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32.07</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32.07</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省网球运动管理中心</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2.01</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2.01</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2.01</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省体操运动管理中心</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46.10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46.10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46.10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省举重运动管理中心</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169.74</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169.74</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69.74</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省摔跤柔道跆拳道运动管理中心</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33.36</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33.36</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33.36</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省游泳运动管理中心</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70.49</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70.49</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70.49</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1-8</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省体育模型和摩托艇运动管理中心</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18.78</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18.78</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18.78</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1-9</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省航空运动管理中心</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13.72</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13.72</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13.72</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1-10</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省射击运动管理中心</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12.64</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12.64</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12.64</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1-11</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省水上运动管理中心</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82.42</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82.42</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82.42</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1-12</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贺龙体育馆</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4.34</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4.34</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4.34</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1-13</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省体育场</w:t>
            </w:r>
          </w:p>
        </w:tc>
        <w:tc>
          <w:tcPr>
            <w:tcW w:w="1968" w:type="dxa"/>
            <w:shd w:val="clear" w:color="auto" w:fill="auto"/>
          </w:tcPr>
          <w:p>
            <w:r>
              <w:rPr>
                <w:rFonts w:hint="eastAsia" w:ascii="仿宋_GB2312" w:hAnsi="宋体" w:eastAsia="仿宋_GB2312" w:cs="宋体"/>
                <w:color w:val="000000"/>
                <w:kern w:val="0"/>
                <w:sz w:val="22"/>
                <w:szCs w:val="22"/>
              </w:rPr>
              <w:t>运动员常年赛成绩奖金</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3.12</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3.12</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3.12</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2</w:t>
            </w:r>
          </w:p>
        </w:tc>
        <w:tc>
          <w:tcPr>
            <w:tcW w:w="2047"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局二级单位</w:t>
            </w:r>
          </w:p>
        </w:tc>
        <w:tc>
          <w:tcPr>
            <w:tcW w:w="1968"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系统内体育场馆维修</w:t>
            </w:r>
          </w:p>
        </w:tc>
        <w:tc>
          <w:tcPr>
            <w:tcW w:w="1120"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321.00</w:t>
            </w:r>
          </w:p>
        </w:tc>
        <w:tc>
          <w:tcPr>
            <w:tcW w:w="1122"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321.00</w:t>
            </w:r>
          </w:p>
        </w:tc>
        <w:tc>
          <w:tcPr>
            <w:tcW w:w="1122"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209.82</w:t>
            </w:r>
          </w:p>
        </w:tc>
        <w:tc>
          <w:tcPr>
            <w:tcW w:w="846"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111.18</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2-1</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后勤中心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局大院维修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91.00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91.00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53.05</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37.95</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2-2</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省体育场</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田径场看台设施维修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28.56</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11.44</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2-3</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省田径运动管理中心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田径棚训练场维修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2-4</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省体育职业学院</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围墙改造</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16.00</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9.00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2-5</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省体育职业学院</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道路维修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25.00</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2-6</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省摔柔跆管理中心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训练房设施维修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2-7</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郴州训练基地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训练综合馆维修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2-8</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省体育模型和摩托艇中心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配套设施维修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2-9</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湖南省体科所</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科研室维修改造</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37.21</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2.79</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3</w:t>
            </w:r>
          </w:p>
        </w:tc>
        <w:tc>
          <w:tcPr>
            <w:tcW w:w="2047"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局二级单位及其他单位</w:t>
            </w:r>
          </w:p>
        </w:tc>
        <w:tc>
          <w:tcPr>
            <w:tcW w:w="1968"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群众体育活动专项</w:t>
            </w:r>
          </w:p>
        </w:tc>
        <w:tc>
          <w:tcPr>
            <w:tcW w:w="1120"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100.00</w:t>
            </w:r>
          </w:p>
        </w:tc>
        <w:tc>
          <w:tcPr>
            <w:tcW w:w="1122"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100.00</w:t>
            </w:r>
          </w:p>
        </w:tc>
        <w:tc>
          <w:tcPr>
            <w:tcW w:w="1122"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69.92</w:t>
            </w:r>
          </w:p>
        </w:tc>
        <w:tc>
          <w:tcPr>
            <w:tcW w:w="846"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30.08</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3-1</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湖南体育职院</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全省太极拳一级社会体育指导员培训班</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3-2</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湖南体育职院</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全省健身教练一级社会体育指导员培训班</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9.92</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0.08</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3-3</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湖南体育职院</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省足球协会全省基层足球协会业务培训</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w:t>
            </w:r>
          </w:p>
        </w:tc>
        <w:tc>
          <w:tcPr>
            <w:tcW w:w="1122" w:type="dxa"/>
            <w:shd w:val="clear" w:color="auto" w:fill="auto"/>
            <w:vAlign w:val="center"/>
          </w:tcPr>
          <w:p>
            <w:pPr>
              <w:widowControl/>
              <w:jc w:val="right"/>
              <w:rPr>
                <w:rFonts w:ascii="Arial Narrow" w:hAnsi="Arial Narrow" w:cs="宋体"/>
                <w:color w:val="000000"/>
                <w:kern w:val="0"/>
                <w:sz w:val="22"/>
                <w:szCs w:val="22"/>
              </w:rPr>
            </w:pP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3-4</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湖南体育职院</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省足球协会全省社区足球指导员训练营</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16.00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16.00</w:t>
            </w:r>
          </w:p>
        </w:tc>
        <w:tc>
          <w:tcPr>
            <w:tcW w:w="1122" w:type="dxa"/>
            <w:shd w:val="clear" w:color="auto" w:fill="auto"/>
            <w:vAlign w:val="center"/>
          </w:tcPr>
          <w:p>
            <w:pPr>
              <w:widowControl/>
              <w:jc w:val="right"/>
              <w:rPr>
                <w:rFonts w:ascii="Arial Narrow" w:hAnsi="Arial Narrow" w:cs="宋体"/>
                <w:color w:val="000000"/>
                <w:kern w:val="0"/>
                <w:sz w:val="22"/>
                <w:szCs w:val="22"/>
              </w:rPr>
            </w:pP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16.00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3-5</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长沙市芙蓉区政府</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2017年中华龙舟大赛（长沙.芙蓉站）</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60.00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60.00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60.00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4</w:t>
            </w:r>
          </w:p>
        </w:tc>
        <w:tc>
          <w:tcPr>
            <w:tcW w:w="2047"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市县体育部门</w:t>
            </w:r>
          </w:p>
        </w:tc>
        <w:tc>
          <w:tcPr>
            <w:tcW w:w="1968"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群众体育设施维修</w:t>
            </w:r>
          </w:p>
        </w:tc>
        <w:tc>
          <w:tcPr>
            <w:tcW w:w="1120"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300.00</w:t>
            </w:r>
          </w:p>
        </w:tc>
        <w:tc>
          <w:tcPr>
            <w:tcW w:w="1122"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300.00</w:t>
            </w:r>
          </w:p>
        </w:tc>
        <w:tc>
          <w:tcPr>
            <w:tcW w:w="1122"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180.00</w:t>
            </w:r>
          </w:p>
        </w:tc>
        <w:tc>
          <w:tcPr>
            <w:tcW w:w="846"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120.00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4-1</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宁乡县文体中心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宁乡县文体中心设备维修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pPr>
              <w:widowControl/>
              <w:jc w:val="right"/>
              <w:rPr>
                <w:rFonts w:ascii="Arial Narrow" w:hAnsi="Arial Narrow" w:cs="宋体"/>
                <w:color w:val="000000"/>
                <w:kern w:val="0"/>
                <w:sz w:val="22"/>
                <w:szCs w:val="22"/>
              </w:rPr>
            </w:pP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4-2</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炎陵县文体中心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炎陵县文体中心场馆维修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4-3</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岳阳市体校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岳阳市体校器材更新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4-4</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临澧县体育局</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临澧县体育综合训练馆维修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4-5</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永州市体育局</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永州市综合训练馆维修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30.00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4-6</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双牌县全民健身中心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双牌县全民健身中心建设</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4-7</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新宁县文体广新局</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新宁县体育广场维修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4-8</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娄底市全民健身中心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娄底市全民健身中心体育设施维修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50.00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50.00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50.00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4-9</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赫山区全民健身服务中心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益阳市赫山区体育馆维修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4-10</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怀化市全民健身服务中心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怀化市体育场塑胶场地维修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40.00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4-11</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怀化市文体广新局</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怀化市靖州县乒羽馆维修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4-12</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慈利县文体广新局</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慈利县全民健身中心维修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4-13</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古古丈县体育局</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古丈县体育馆维修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4-14</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保靖县全民健身中心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保靖县全民健身中心场馆维修</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5</w:t>
            </w:r>
          </w:p>
        </w:tc>
        <w:tc>
          <w:tcPr>
            <w:tcW w:w="2047"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市县级体育部门</w:t>
            </w:r>
          </w:p>
        </w:tc>
        <w:tc>
          <w:tcPr>
            <w:tcW w:w="1968" w:type="dxa"/>
            <w:shd w:val="clear" w:color="auto" w:fill="auto"/>
            <w:vAlign w:val="center"/>
          </w:tcPr>
          <w:p>
            <w:pPr>
              <w:widowControl/>
              <w:jc w:val="center"/>
              <w:rPr>
                <w:rFonts w:ascii="仿宋_GB2312" w:hAnsi="宋体" w:eastAsia="仿宋_GB2312" w:cs="宋体"/>
                <w:b/>
                <w:color w:val="000000"/>
                <w:kern w:val="0"/>
                <w:sz w:val="22"/>
                <w:szCs w:val="22"/>
              </w:rPr>
            </w:pPr>
            <w:r>
              <w:rPr>
                <w:rFonts w:hint="eastAsia" w:ascii="仿宋_GB2312" w:hAnsi="宋体" w:eastAsia="仿宋_GB2312" w:cs="宋体"/>
                <w:b/>
                <w:color w:val="000000"/>
                <w:kern w:val="0"/>
                <w:sz w:val="22"/>
                <w:szCs w:val="22"/>
              </w:rPr>
              <w:t>体育后备人才培养</w:t>
            </w:r>
          </w:p>
        </w:tc>
        <w:tc>
          <w:tcPr>
            <w:tcW w:w="1120"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500.00</w:t>
            </w:r>
          </w:p>
        </w:tc>
        <w:tc>
          <w:tcPr>
            <w:tcW w:w="1122"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500.00</w:t>
            </w:r>
          </w:p>
        </w:tc>
        <w:tc>
          <w:tcPr>
            <w:tcW w:w="1122"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493.77</w:t>
            </w:r>
          </w:p>
        </w:tc>
        <w:tc>
          <w:tcPr>
            <w:tcW w:w="846" w:type="dxa"/>
            <w:shd w:val="clear" w:color="auto" w:fill="auto"/>
            <w:vAlign w:val="center"/>
          </w:tcPr>
          <w:p>
            <w:pPr>
              <w:widowControl/>
              <w:jc w:val="right"/>
              <w:rPr>
                <w:rFonts w:ascii="Arial Narrow" w:hAnsi="Arial Narrow" w:cs="宋体"/>
                <w:b/>
                <w:color w:val="000000"/>
                <w:kern w:val="0"/>
                <w:sz w:val="22"/>
                <w:szCs w:val="22"/>
              </w:rPr>
            </w:pPr>
            <w:r>
              <w:rPr>
                <w:rFonts w:ascii="Arial Narrow" w:hAnsi="Arial Narrow" w:cs="宋体"/>
                <w:b/>
                <w:color w:val="000000"/>
                <w:kern w:val="0"/>
                <w:sz w:val="22"/>
                <w:szCs w:val="22"/>
              </w:rPr>
              <w:t>6.23</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长沙市体育训练竞赛管理中心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皮划艇、赛艇基地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5-2</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长沙市贺龙体校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摔、柔、跆基地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5-3</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长沙市体操学校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体操基地、蹦床基地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5-4</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长沙市体育训练竞赛管理中心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羽毛球基地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5-5</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株洲市体育运动学校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皮划艇、赛艇基地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5-6</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株洲市射击基地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株洲市射击基地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5-7</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株洲市摔跤、柔道基地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株洲市摔跤、柔道基地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5-8</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株洲市少年儿童体育学校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体操、蹦床基地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5-9</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株洲市学校业余训练指导中心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田径基地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5-10</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湘潭市体育运动学校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湘网球基地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5-11</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湘潭市游泳、跳水基地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湘潭市游泳、跳水基地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5-12</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湘潭市羽毛球基地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湘潭市羽毛球基地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5-13</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衡阳市体育运动学校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衡阳市体育运动学校射击基地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5-14</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衡阳市体操基地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衡阳市体操基地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5-15</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衡阳市游跳中心</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衡阳市游跳中心游泳、跳水基地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5-16</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邵阳市体育运动学校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游泳基地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5-17</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邵阳市羽毛球基地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邵阳市羽毛球基地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5-18</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岳阳市体育学校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岳阳市体育学校皮划艇、赛艇基地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5-19</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岳阳市射击基地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岳阳市射击基地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ind w:right="220"/>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5-20</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岳阳市游泳学校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游泳基地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5-21</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常德市体育运动学校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常射击基地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5-22</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常德市摔跤、柔道基地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常德市摔跤、柔道基地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23</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常德市游泳基地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常德市游泳基地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24</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张家界市体育学校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柔道基地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20.00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25</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益阳市摔跤柔道学校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摔跤、柔道基地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26</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益阳市羽毛球学校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羽毛球基地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27</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永州市体育学校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举重基地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28</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永州市游泳基地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永州市游泳基地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29</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郴州市体育学校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举重基地15万</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30</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郴州市体育学校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资兴皮划艇、赛艇基地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8.77</w:t>
            </w:r>
          </w:p>
        </w:tc>
        <w:tc>
          <w:tcPr>
            <w:tcW w:w="846"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6.23</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31</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娄底市体育运动学校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射击基地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13.00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13.00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13.00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32</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娄底市摔、柔、跆基地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娄底市摔、柔、跆基地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33</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娄底市田径基地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娄底市田径基地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10.00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34</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怀化市体育学校</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游泳基地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35</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湘西土家族苗族自治州举重人才基地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湘西土家族苗族自治州举重人才基地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18.00</w:t>
            </w:r>
          </w:p>
        </w:tc>
        <w:tc>
          <w:tcPr>
            <w:tcW w:w="846" w:type="dxa"/>
            <w:shd w:val="clear" w:color="auto" w:fill="auto"/>
            <w:vAlign w:val="center"/>
          </w:tcPr>
          <w:p>
            <w:pPr>
              <w:widowControl/>
              <w:jc w:val="right"/>
              <w:rPr>
                <w:rFonts w:ascii="Arial Narrow" w:hAnsi="Arial Narrow"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680" w:hRule="atLeast"/>
        </w:trPr>
        <w:tc>
          <w:tcPr>
            <w:tcW w:w="721"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r>
              <w:rPr>
                <w:rFonts w:ascii="仿宋_GB2312" w:hAnsi="宋体" w:eastAsia="仿宋_GB2312" w:cs="宋体"/>
                <w:color w:val="000000"/>
                <w:kern w:val="0"/>
                <w:sz w:val="22"/>
                <w:szCs w:val="22"/>
              </w:rPr>
              <w:t>36</w:t>
            </w:r>
          </w:p>
        </w:tc>
        <w:tc>
          <w:tcPr>
            <w:tcW w:w="2047"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湘西土家族苗族自治州民族体育运动学校摔跤基地</w:t>
            </w:r>
          </w:p>
        </w:tc>
        <w:tc>
          <w:tcPr>
            <w:tcW w:w="196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湘西土家族苗族自治州民族体育运动学校摔跤基地</w:t>
            </w:r>
          </w:p>
        </w:tc>
        <w:tc>
          <w:tcPr>
            <w:tcW w:w="1120"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1122" w:type="dxa"/>
            <w:shd w:val="clear" w:color="auto" w:fill="auto"/>
            <w:vAlign w:val="center"/>
          </w:tcPr>
          <w:p>
            <w:pPr>
              <w:widowControl/>
              <w:jc w:val="right"/>
              <w:rPr>
                <w:rFonts w:ascii="Arial Narrow" w:hAnsi="Arial Narrow" w:cs="宋体"/>
                <w:color w:val="000000"/>
                <w:kern w:val="0"/>
                <w:sz w:val="22"/>
                <w:szCs w:val="22"/>
              </w:rPr>
            </w:pPr>
            <w:r>
              <w:rPr>
                <w:rFonts w:ascii="Arial Narrow" w:hAnsi="Arial Narrow" w:cs="宋体"/>
                <w:color w:val="000000"/>
                <w:kern w:val="0"/>
                <w:sz w:val="22"/>
                <w:szCs w:val="22"/>
              </w:rPr>
              <w:t>15.00</w:t>
            </w:r>
          </w:p>
        </w:tc>
        <w:tc>
          <w:tcPr>
            <w:tcW w:w="846" w:type="dxa"/>
            <w:shd w:val="clear" w:color="auto" w:fill="auto"/>
            <w:vAlign w:val="center"/>
          </w:tcPr>
          <w:p>
            <w:pPr>
              <w:widowControl/>
              <w:ind w:right="220"/>
              <w:jc w:val="right"/>
              <w:rPr>
                <w:rFonts w:ascii="Arial Narrow" w:hAnsi="Arial Narrow" w:cs="宋体"/>
                <w:color w:val="000000"/>
                <w:kern w:val="0"/>
                <w:sz w:val="22"/>
                <w:szCs w:val="22"/>
              </w:rPr>
            </w:pPr>
          </w:p>
        </w:tc>
      </w:tr>
    </w:tbl>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olor w:val="000000"/>
          <w:sz w:val="32"/>
          <w:szCs w:val="32"/>
        </w:rPr>
        <w:t>、运动员常年赛成绩奖金，全部用于湖南省在国内外各类重大体育比赛中获得优异成绩的运动员、教练员成绩奖励，相关奖励根据比赛层次和获奖名次，按文件规定的标准予以发放。2017年度项目到位资金</w:t>
      </w:r>
      <w:r>
        <w:rPr>
          <w:rFonts w:ascii="仿宋_GB2312" w:hAnsi="宋体" w:eastAsia="仿宋_GB2312"/>
          <w:color w:val="000000"/>
          <w:sz w:val="32"/>
          <w:szCs w:val="32"/>
        </w:rPr>
        <w:t>500.00</w:t>
      </w:r>
      <w:r>
        <w:rPr>
          <w:rFonts w:hint="eastAsia" w:ascii="仿宋_GB2312" w:hAnsi="宋体" w:eastAsia="仿宋_GB2312"/>
          <w:color w:val="000000"/>
          <w:sz w:val="32"/>
          <w:szCs w:val="32"/>
        </w:rPr>
        <w:t>万元，实际使用资金</w:t>
      </w:r>
      <w:r>
        <w:rPr>
          <w:rFonts w:ascii="仿宋_GB2312" w:hAnsi="宋体" w:eastAsia="仿宋_GB2312"/>
          <w:color w:val="000000"/>
          <w:sz w:val="32"/>
          <w:szCs w:val="32"/>
        </w:rPr>
        <w:t>400.00</w:t>
      </w:r>
      <w:r>
        <w:rPr>
          <w:rFonts w:hint="eastAsia" w:ascii="仿宋_GB2312" w:hAnsi="宋体" w:eastAsia="仿宋_GB2312"/>
          <w:color w:val="000000"/>
          <w:sz w:val="32"/>
          <w:szCs w:val="32"/>
        </w:rPr>
        <w:t>万元，结余</w:t>
      </w:r>
      <w:r>
        <w:rPr>
          <w:rFonts w:ascii="仿宋_GB2312" w:hAnsi="宋体" w:eastAsia="仿宋_GB2312"/>
          <w:color w:val="000000"/>
          <w:sz w:val="32"/>
          <w:szCs w:val="32"/>
        </w:rPr>
        <w:t>100.00，</w:t>
      </w:r>
      <w:r>
        <w:rPr>
          <w:rFonts w:hint="eastAsia" w:ascii="仿宋_GB2312" w:hAnsi="宋体" w:eastAsia="仿宋_GB2312"/>
          <w:color w:val="000000"/>
          <w:sz w:val="32"/>
          <w:szCs w:val="32"/>
        </w:rPr>
        <w:t>为湖南省举重运动管理中心结余。结余原因为赛事存在争议，导致100.00万元常年赛成绩奖金未发放。</w:t>
      </w:r>
    </w:p>
    <w:p>
      <w:pPr>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2</w:t>
      </w:r>
      <w:r>
        <w:rPr>
          <w:rFonts w:hint="eastAsia" w:ascii="仿宋_GB2312" w:hAnsi="宋体" w:eastAsia="仿宋_GB2312"/>
          <w:color w:val="000000"/>
          <w:sz w:val="32"/>
          <w:szCs w:val="32"/>
        </w:rPr>
        <w:t>、系统内体育场馆维修项目主要用于湖南省体育局机关后勤服务中心等</w:t>
      </w:r>
      <w:r>
        <w:rPr>
          <w:rFonts w:ascii="仿宋_GB2312" w:hAnsi="宋体" w:eastAsia="仿宋_GB2312"/>
          <w:color w:val="000000"/>
          <w:sz w:val="32"/>
          <w:szCs w:val="32"/>
        </w:rPr>
        <w:t>8</w:t>
      </w:r>
      <w:r>
        <w:rPr>
          <w:rFonts w:hint="eastAsia" w:ascii="仿宋_GB2312" w:hAnsi="宋体" w:eastAsia="仿宋_GB2312"/>
          <w:color w:val="000000"/>
          <w:sz w:val="32"/>
          <w:szCs w:val="32"/>
        </w:rPr>
        <w:t>个直属二级单位的体育场馆设施维修。本年度到位</w:t>
      </w:r>
      <w:r>
        <w:rPr>
          <w:rFonts w:ascii="仿宋_GB2312" w:hAnsi="宋体" w:eastAsia="仿宋_GB2312"/>
          <w:color w:val="000000"/>
          <w:sz w:val="32"/>
          <w:szCs w:val="32"/>
        </w:rPr>
        <w:t>321.00</w:t>
      </w:r>
      <w:r>
        <w:rPr>
          <w:rFonts w:hint="eastAsia" w:ascii="仿宋_GB2312" w:hAnsi="宋体" w:eastAsia="仿宋_GB2312"/>
          <w:color w:val="000000"/>
          <w:sz w:val="32"/>
          <w:szCs w:val="32"/>
        </w:rPr>
        <w:t>万元，已使用</w:t>
      </w:r>
      <w:r>
        <w:rPr>
          <w:rFonts w:ascii="仿宋_GB2312" w:hAnsi="宋体" w:eastAsia="仿宋_GB2312"/>
          <w:color w:val="000000"/>
          <w:sz w:val="32"/>
          <w:szCs w:val="32"/>
        </w:rPr>
        <w:t>209.82</w:t>
      </w:r>
      <w:r>
        <w:rPr>
          <w:rFonts w:hint="eastAsia" w:ascii="仿宋_GB2312" w:hAnsi="宋体" w:eastAsia="仿宋_GB2312"/>
          <w:color w:val="000000"/>
          <w:sz w:val="32"/>
          <w:szCs w:val="32"/>
        </w:rPr>
        <w:t>万元，结余</w:t>
      </w:r>
      <w:r>
        <w:rPr>
          <w:rFonts w:ascii="仿宋_GB2312" w:hAnsi="宋体" w:eastAsia="仿宋_GB2312"/>
          <w:color w:val="000000"/>
          <w:sz w:val="32"/>
          <w:szCs w:val="32"/>
        </w:rPr>
        <w:t>111.18</w:t>
      </w:r>
      <w:r>
        <w:rPr>
          <w:rFonts w:hint="eastAsia" w:ascii="仿宋_GB2312" w:hAnsi="宋体" w:eastAsia="仿宋_GB2312"/>
          <w:color w:val="000000"/>
          <w:sz w:val="32"/>
          <w:szCs w:val="32"/>
        </w:rPr>
        <w:t>万元。其中：</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1</w:t>
      </w:r>
      <w:r>
        <w:rPr>
          <w:rFonts w:hint="eastAsia" w:ascii="仿宋_GB2312" w:hAnsi="宋体" w:eastAsia="仿宋_GB2312"/>
          <w:color w:val="000000"/>
          <w:sz w:val="32"/>
          <w:szCs w:val="32"/>
        </w:rPr>
        <w:t>）局大院维修项目到位资金</w:t>
      </w:r>
      <w:r>
        <w:rPr>
          <w:rFonts w:ascii="仿宋_GB2312" w:hAnsi="宋体" w:eastAsia="仿宋_GB2312"/>
          <w:color w:val="000000"/>
          <w:sz w:val="32"/>
          <w:szCs w:val="32"/>
        </w:rPr>
        <w:t>91.00</w:t>
      </w:r>
      <w:r>
        <w:rPr>
          <w:rFonts w:hint="eastAsia" w:ascii="仿宋_GB2312" w:hAnsi="宋体" w:eastAsia="仿宋_GB2312"/>
          <w:color w:val="000000"/>
          <w:sz w:val="32"/>
          <w:szCs w:val="32"/>
        </w:rPr>
        <w:t>万元，实际使用</w:t>
      </w:r>
      <w:r>
        <w:rPr>
          <w:rFonts w:ascii="仿宋_GB2312" w:hAnsi="宋体" w:eastAsia="仿宋_GB2312"/>
          <w:color w:val="000000"/>
          <w:sz w:val="32"/>
          <w:szCs w:val="32"/>
        </w:rPr>
        <w:t>53.05</w:t>
      </w:r>
      <w:r>
        <w:rPr>
          <w:rFonts w:hint="eastAsia" w:ascii="仿宋_GB2312" w:hAnsi="宋体" w:eastAsia="仿宋_GB2312"/>
          <w:color w:val="000000"/>
          <w:sz w:val="32"/>
          <w:szCs w:val="32"/>
        </w:rPr>
        <w:t>万元，结余</w:t>
      </w:r>
      <w:r>
        <w:rPr>
          <w:rFonts w:ascii="仿宋_GB2312" w:hAnsi="宋体" w:eastAsia="仿宋_GB2312"/>
          <w:color w:val="000000"/>
          <w:sz w:val="32"/>
          <w:szCs w:val="32"/>
        </w:rPr>
        <w:t>37.95万元</w:t>
      </w:r>
      <w:r>
        <w:rPr>
          <w:rFonts w:hint="eastAsia" w:ascii="仿宋_GB2312" w:hAnsi="宋体" w:eastAsia="仿宋_GB2312"/>
          <w:color w:val="000000"/>
          <w:sz w:val="32"/>
          <w:szCs w:val="32"/>
        </w:rPr>
        <w:t>，结余原因为项目已实施，未达到付款条件和质保金扣款。</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2</w:t>
      </w:r>
      <w:r>
        <w:rPr>
          <w:rFonts w:hint="eastAsia" w:ascii="仿宋_GB2312" w:hAnsi="宋体" w:eastAsia="仿宋_GB2312"/>
          <w:color w:val="000000"/>
          <w:sz w:val="32"/>
          <w:szCs w:val="32"/>
        </w:rPr>
        <w:t>）省体育场田径场看台设施维修项目到位资金</w:t>
      </w:r>
      <w:r>
        <w:rPr>
          <w:rFonts w:ascii="仿宋_GB2312" w:hAnsi="宋体" w:eastAsia="仿宋_GB2312"/>
          <w:color w:val="000000"/>
          <w:sz w:val="32"/>
          <w:szCs w:val="32"/>
        </w:rPr>
        <w:t>40</w:t>
      </w:r>
      <w:r>
        <w:rPr>
          <w:rFonts w:hint="eastAsia" w:ascii="仿宋_GB2312" w:hAnsi="宋体" w:eastAsia="仿宋_GB2312"/>
          <w:color w:val="000000"/>
          <w:sz w:val="32"/>
          <w:szCs w:val="32"/>
        </w:rPr>
        <w:t>万元，实际使用资金</w:t>
      </w:r>
      <w:r>
        <w:rPr>
          <w:rFonts w:ascii="仿宋_GB2312" w:hAnsi="宋体" w:eastAsia="仿宋_GB2312"/>
          <w:color w:val="000000"/>
          <w:sz w:val="32"/>
          <w:szCs w:val="32"/>
        </w:rPr>
        <w:t>28.56</w:t>
      </w:r>
      <w:r>
        <w:rPr>
          <w:rFonts w:hint="eastAsia" w:ascii="仿宋_GB2312" w:hAnsi="宋体" w:eastAsia="仿宋_GB2312"/>
          <w:color w:val="000000"/>
          <w:sz w:val="32"/>
          <w:szCs w:val="32"/>
        </w:rPr>
        <w:t>万元，结余11.44万元。结余原因主要为看台座椅更换项目因场馆土建施工项目影响而暂缓实施。</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3</w:t>
      </w:r>
      <w:r>
        <w:rPr>
          <w:rFonts w:hint="eastAsia" w:ascii="仿宋_GB2312" w:hAnsi="宋体" w:eastAsia="仿宋_GB2312"/>
          <w:color w:val="000000"/>
          <w:sz w:val="32"/>
          <w:szCs w:val="32"/>
        </w:rPr>
        <w:t>）省田径运动管理中心田径棚训练场维修项目到位资金</w:t>
      </w:r>
      <w:r>
        <w:rPr>
          <w:rFonts w:ascii="仿宋_GB2312" w:hAnsi="宋体" w:eastAsia="仿宋_GB2312"/>
          <w:color w:val="000000"/>
          <w:sz w:val="32"/>
          <w:szCs w:val="32"/>
        </w:rPr>
        <w:t>20.00</w:t>
      </w:r>
      <w:r>
        <w:rPr>
          <w:rFonts w:hint="eastAsia" w:ascii="仿宋_GB2312" w:hAnsi="宋体" w:eastAsia="仿宋_GB2312"/>
          <w:color w:val="000000"/>
          <w:sz w:val="32"/>
          <w:szCs w:val="32"/>
        </w:rPr>
        <w:t>万元，结余20.00万元。结余原因主要为备战全运会，年度维修计划推迟。</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4</w:t>
      </w:r>
      <w:r>
        <w:rPr>
          <w:rFonts w:hint="eastAsia" w:ascii="仿宋_GB2312" w:hAnsi="宋体" w:eastAsia="仿宋_GB2312"/>
          <w:color w:val="000000"/>
          <w:sz w:val="32"/>
          <w:szCs w:val="32"/>
        </w:rPr>
        <w:t>）省体校体院围墙改造及道路维修项目到位资金</w:t>
      </w:r>
      <w:r>
        <w:rPr>
          <w:rFonts w:ascii="仿宋_GB2312" w:hAnsi="宋体" w:eastAsia="仿宋_GB2312"/>
          <w:color w:val="000000"/>
          <w:sz w:val="32"/>
          <w:szCs w:val="32"/>
        </w:rPr>
        <w:t>50</w:t>
      </w:r>
      <w:r>
        <w:rPr>
          <w:rFonts w:hint="eastAsia" w:ascii="仿宋_GB2312" w:hAnsi="宋体" w:eastAsia="仿宋_GB2312"/>
          <w:color w:val="000000"/>
          <w:sz w:val="32"/>
          <w:szCs w:val="32"/>
        </w:rPr>
        <w:t>万元，实际使用资金41万元，主要为围墙改造项目预算过高，实际结算经造价审核后有结余，结余资金拟用于下年度维修改造。</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5</w:t>
      </w:r>
      <w:r>
        <w:rPr>
          <w:rFonts w:hint="eastAsia" w:ascii="仿宋_GB2312" w:hAnsi="宋体" w:eastAsia="仿宋_GB2312"/>
          <w:color w:val="000000"/>
          <w:sz w:val="32"/>
          <w:szCs w:val="32"/>
        </w:rPr>
        <w:t>）省摔柔跆管理中心训练房设施维修项目到位资金</w:t>
      </w:r>
      <w:r>
        <w:rPr>
          <w:rFonts w:ascii="仿宋_GB2312" w:hAnsi="宋体" w:eastAsia="仿宋_GB2312"/>
          <w:color w:val="000000"/>
          <w:sz w:val="32"/>
          <w:szCs w:val="32"/>
        </w:rPr>
        <w:t>30</w:t>
      </w:r>
      <w:r>
        <w:rPr>
          <w:rFonts w:hint="eastAsia" w:ascii="仿宋_GB2312" w:hAnsi="宋体" w:eastAsia="仿宋_GB2312"/>
          <w:color w:val="000000"/>
          <w:sz w:val="32"/>
          <w:szCs w:val="32"/>
        </w:rPr>
        <w:t>万元，结余</w:t>
      </w:r>
      <w:r>
        <w:rPr>
          <w:rFonts w:ascii="仿宋_GB2312" w:hAnsi="宋体" w:eastAsia="仿宋_GB2312"/>
          <w:color w:val="000000"/>
          <w:sz w:val="32"/>
          <w:szCs w:val="32"/>
        </w:rPr>
        <w:t>30.00</w:t>
      </w:r>
      <w:r>
        <w:rPr>
          <w:rFonts w:hint="eastAsia" w:ascii="仿宋_GB2312" w:hAnsi="宋体" w:eastAsia="仿宋_GB2312"/>
          <w:color w:val="000000"/>
          <w:sz w:val="32"/>
          <w:szCs w:val="32"/>
        </w:rPr>
        <w:t>万元。结余原因主要为备战全运会，年度维修计划推迟。</w:t>
      </w:r>
    </w:p>
    <w:p>
      <w:pPr>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ascii="仿宋_GB2312" w:hAnsi="宋体" w:eastAsia="仿宋_GB2312"/>
          <w:color w:val="000000"/>
          <w:sz w:val="32"/>
          <w:szCs w:val="32"/>
        </w:rPr>
        <w:t>6</w:t>
      </w:r>
      <w:r>
        <w:rPr>
          <w:rFonts w:hint="eastAsia" w:ascii="仿宋_GB2312" w:hAnsi="宋体" w:eastAsia="仿宋_GB2312"/>
          <w:color w:val="000000"/>
          <w:sz w:val="32"/>
          <w:szCs w:val="32"/>
        </w:rPr>
        <w:t>）省体科所科研室维修改造项目到位资金</w:t>
      </w:r>
      <w:r>
        <w:rPr>
          <w:rFonts w:ascii="仿宋_GB2312" w:hAnsi="宋体" w:eastAsia="仿宋_GB2312"/>
          <w:color w:val="000000"/>
          <w:sz w:val="32"/>
          <w:szCs w:val="32"/>
        </w:rPr>
        <w:t>40.00</w:t>
      </w:r>
      <w:r>
        <w:rPr>
          <w:rFonts w:hint="eastAsia" w:ascii="仿宋_GB2312" w:hAnsi="宋体" w:eastAsia="仿宋_GB2312"/>
          <w:color w:val="000000"/>
          <w:sz w:val="32"/>
          <w:szCs w:val="32"/>
        </w:rPr>
        <w:t>万元，实际使用</w:t>
      </w:r>
      <w:r>
        <w:rPr>
          <w:rFonts w:ascii="仿宋_GB2312" w:hAnsi="宋体" w:eastAsia="仿宋_GB2312"/>
          <w:color w:val="000000"/>
          <w:sz w:val="32"/>
          <w:szCs w:val="32"/>
        </w:rPr>
        <w:t>37.21</w:t>
      </w:r>
      <w:r>
        <w:rPr>
          <w:rFonts w:hint="eastAsia" w:ascii="仿宋_GB2312" w:hAnsi="宋体" w:eastAsia="仿宋_GB2312"/>
          <w:color w:val="000000"/>
          <w:sz w:val="32"/>
          <w:szCs w:val="32"/>
        </w:rPr>
        <w:t>万元，结余</w:t>
      </w:r>
      <w:r>
        <w:rPr>
          <w:rFonts w:ascii="仿宋_GB2312" w:hAnsi="宋体" w:eastAsia="仿宋_GB2312"/>
          <w:color w:val="000000"/>
          <w:sz w:val="32"/>
          <w:szCs w:val="32"/>
        </w:rPr>
        <w:t>2.79万元</w:t>
      </w:r>
      <w:r>
        <w:rPr>
          <w:rFonts w:hint="eastAsia" w:ascii="仿宋_GB2312" w:hAnsi="宋体" w:eastAsia="仿宋_GB2312"/>
          <w:color w:val="000000"/>
          <w:sz w:val="32"/>
          <w:szCs w:val="32"/>
        </w:rPr>
        <w:t>。结余原因为经造价结算审核后有结余，结余资金拟用于下年度维修改造。</w:t>
      </w:r>
    </w:p>
    <w:p>
      <w:pPr>
        <w:ind w:firstLine="640" w:firstLineChars="200"/>
        <w:rPr>
          <w:rFonts w:ascii="仿宋_GB2312" w:hAnsi="宋体" w:eastAsia="仿宋_GB2312"/>
          <w:color w:val="000000"/>
          <w:sz w:val="32"/>
          <w:szCs w:val="32"/>
        </w:rPr>
      </w:pPr>
      <w:r>
        <w:rPr>
          <w:rFonts w:ascii="仿宋_GB2312" w:hAnsi="宋体" w:eastAsia="仿宋_GB2312"/>
          <w:sz w:val="32"/>
          <w:szCs w:val="32"/>
        </w:rPr>
        <w:t>3</w:t>
      </w:r>
      <w:r>
        <w:rPr>
          <w:rFonts w:hint="eastAsia" w:ascii="仿宋_GB2312" w:hAnsi="宋体" w:eastAsia="仿宋_GB2312"/>
          <w:color w:val="000000"/>
          <w:sz w:val="32"/>
          <w:szCs w:val="32"/>
        </w:rPr>
        <w:t>、</w:t>
      </w:r>
      <w:r>
        <w:rPr>
          <w:rFonts w:hint="eastAsia" w:ascii="仿宋_GB2312" w:hAnsi="宋体" w:eastAsia="仿宋_GB2312"/>
          <w:sz w:val="32"/>
          <w:szCs w:val="32"/>
        </w:rPr>
        <w:t>群众体育活动专项到位资金</w:t>
      </w:r>
      <w:r>
        <w:rPr>
          <w:rFonts w:ascii="仿宋_GB2312" w:hAnsi="宋体" w:eastAsia="仿宋_GB2312"/>
          <w:sz w:val="32"/>
          <w:szCs w:val="32"/>
        </w:rPr>
        <w:t>100.00</w:t>
      </w:r>
      <w:r>
        <w:rPr>
          <w:rFonts w:hint="eastAsia" w:ascii="仿宋_GB2312" w:hAnsi="宋体" w:eastAsia="仿宋_GB2312"/>
          <w:sz w:val="32"/>
          <w:szCs w:val="32"/>
        </w:rPr>
        <w:t>万元，（其中指标下达：湖南体育职业学院</w:t>
      </w:r>
      <w:r>
        <w:rPr>
          <w:rFonts w:ascii="仿宋_GB2312" w:hAnsi="宋体" w:eastAsia="仿宋_GB2312"/>
          <w:sz w:val="32"/>
          <w:szCs w:val="32"/>
        </w:rPr>
        <w:t>20.00</w:t>
      </w:r>
      <w:r>
        <w:rPr>
          <w:rFonts w:hint="eastAsia" w:ascii="仿宋_GB2312" w:hAnsi="宋体" w:eastAsia="仿宋_GB2312"/>
          <w:sz w:val="32"/>
          <w:szCs w:val="32"/>
        </w:rPr>
        <w:t>万元，省足球协会</w:t>
      </w:r>
      <w:r>
        <w:rPr>
          <w:rFonts w:ascii="仿宋_GB2312" w:hAnsi="宋体" w:eastAsia="仿宋_GB2312"/>
          <w:sz w:val="32"/>
          <w:szCs w:val="32"/>
        </w:rPr>
        <w:t>20.00</w:t>
      </w:r>
      <w:r>
        <w:rPr>
          <w:rFonts w:hint="eastAsia" w:ascii="仿宋_GB2312" w:hAnsi="宋体" w:eastAsia="仿宋_GB2312"/>
          <w:sz w:val="32"/>
          <w:szCs w:val="32"/>
        </w:rPr>
        <w:t>万元，长沙市芙蓉区政府60.00万元），实际使用</w:t>
      </w:r>
      <w:r>
        <w:rPr>
          <w:rFonts w:ascii="仿宋_GB2312" w:hAnsi="宋体" w:eastAsia="仿宋_GB2312"/>
          <w:sz w:val="32"/>
          <w:szCs w:val="32"/>
        </w:rPr>
        <w:t>69.92</w:t>
      </w:r>
      <w:r>
        <w:rPr>
          <w:rFonts w:hint="eastAsia" w:ascii="仿宋_GB2312" w:hAnsi="宋体" w:eastAsia="仿宋_GB2312"/>
          <w:sz w:val="32"/>
          <w:szCs w:val="32"/>
        </w:rPr>
        <w:t>.00万元，结余30.08万元，结余主要原因为全省太极拳一级社会体育指导员培训班项目因人事调动未落实具体项目负责人导致未实施，计划下年度实施；湖南省基层足球协会业务培训和社区足球指导员训练营项目未实施，该项目原计划</w:t>
      </w:r>
      <w:r>
        <w:rPr>
          <w:rFonts w:hint="eastAsia" w:ascii="仿宋" w:hAnsi="仿宋" w:eastAsia="仿宋" w:cs="仿宋"/>
          <w:sz w:val="32"/>
          <w:szCs w:val="32"/>
        </w:rPr>
        <w:t>组织全省基层15个会员协会秘书长、业务主管约40人，接受为期两天的业务培训和组织全省约200名社区足球指导员分4期轮训，由于工作计划调整，项目延迟至2018年实施。</w:t>
      </w:r>
    </w:p>
    <w:p>
      <w:pPr>
        <w:ind w:firstLine="960" w:firstLineChars="300"/>
        <w:rPr>
          <w:rFonts w:ascii="仿宋_GB2312" w:hAnsi="宋体" w:eastAsia="仿宋_GB2312"/>
          <w:sz w:val="32"/>
          <w:szCs w:val="32"/>
        </w:rPr>
      </w:pPr>
      <w:r>
        <w:rPr>
          <w:rFonts w:ascii="仿宋_GB2312" w:hAnsi="宋体" w:eastAsia="仿宋_GB2312"/>
          <w:color w:val="000000"/>
          <w:sz w:val="32"/>
          <w:szCs w:val="32"/>
        </w:rPr>
        <w:t>4</w:t>
      </w:r>
      <w:r>
        <w:rPr>
          <w:rFonts w:hint="eastAsia" w:ascii="仿宋_GB2312" w:hAnsi="宋体" w:eastAsia="仿宋_GB2312"/>
          <w:color w:val="000000"/>
          <w:sz w:val="32"/>
          <w:szCs w:val="32"/>
        </w:rPr>
        <w:t>、群众体育设施维修项目资金到位</w:t>
      </w:r>
      <w:r>
        <w:rPr>
          <w:rFonts w:ascii="仿宋_GB2312" w:hAnsi="宋体" w:eastAsia="仿宋_GB2312"/>
          <w:color w:val="000000"/>
          <w:sz w:val="32"/>
          <w:szCs w:val="32"/>
        </w:rPr>
        <w:t>300.00</w:t>
      </w:r>
      <w:r>
        <w:rPr>
          <w:rFonts w:hint="eastAsia" w:ascii="仿宋_GB2312" w:hAnsi="宋体" w:eastAsia="仿宋_GB2312"/>
          <w:color w:val="000000"/>
          <w:sz w:val="32"/>
          <w:szCs w:val="32"/>
        </w:rPr>
        <w:t>万元，实际使用</w:t>
      </w:r>
      <w:r>
        <w:rPr>
          <w:rFonts w:ascii="仿宋_GB2312" w:hAnsi="宋体" w:eastAsia="仿宋_GB2312"/>
          <w:color w:val="000000"/>
          <w:sz w:val="32"/>
          <w:szCs w:val="32"/>
        </w:rPr>
        <w:t>180.00</w:t>
      </w:r>
      <w:r>
        <w:rPr>
          <w:rFonts w:hint="eastAsia" w:ascii="仿宋_GB2312" w:hAnsi="宋体" w:eastAsia="仿宋_GB2312"/>
          <w:color w:val="000000"/>
          <w:sz w:val="32"/>
          <w:szCs w:val="32"/>
        </w:rPr>
        <w:t>，结余</w:t>
      </w:r>
      <w:r>
        <w:rPr>
          <w:rFonts w:ascii="仿宋_GB2312" w:hAnsi="宋体" w:eastAsia="仿宋_GB2312"/>
          <w:color w:val="000000"/>
          <w:sz w:val="32"/>
          <w:szCs w:val="32"/>
        </w:rPr>
        <w:t>120.00</w:t>
      </w:r>
      <w:r>
        <w:rPr>
          <w:rFonts w:hint="eastAsia" w:ascii="仿宋_GB2312" w:hAnsi="宋体" w:eastAsia="仿宋_GB2312"/>
          <w:color w:val="000000"/>
          <w:sz w:val="32"/>
          <w:szCs w:val="32"/>
        </w:rPr>
        <w:t>万元，主要为</w:t>
      </w:r>
      <w:r>
        <w:rPr>
          <w:rFonts w:hint="eastAsia" w:ascii="仿宋_GB2312" w:hAnsi="宋体" w:eastAsia="仿宋_GB2312"/>
          <w:sz w:val="32"/>
          <w:szCs w:val="32"/>
        </w:rPr>
        <w:t>宁乡县文体中心设备维修30万元、临澧县体育综合训练馆维修项目</w:t>
      </w:r>
      <w:r>
        <w:rPr>
          <w:rFonts w:ascii="仿宋_GB2312" w:hAnsi="宋体" w:eastAsia="仿宋_GB2312"/>
          <w:sz w:val="32"/>
          <w:szCs w:val="32"/>
        </w:rPr>
        <w:t>10.00</w:t>
      </w:r>
      <w:r>
        <w:rPr>
          <w:rFonts w:hint="eastAsia" w:ascii="仿宋_GB2312" w:hAnsi="宋体" w:eastAsia="仿宋_GB2312"/>
          <w:sz w:val="32"/>
          <w:szCs w:val="32"/>
        </w:rPr>
        <w:t>万元、新宁县体育广场维修项目</w:t>
      </w:r>
      <w:r>
        <w:rPr>
          <w:rFonts w:ascii="仿宋_GB2312" w:hAnsi="宋体" w:eastAsia="仿宋_GB2312"/>
          <w:sz w:val="32"/>
          <w:szCs w:val="32"/>
        </w:rPr>
        <w:t>20.00</w:t>
      </w:r>
      <w:r>
        <w:rPr>
          <w:rFonts w:hint="eastAsia" w:ascii="仿宋_GB2312" w:hAnsi="宋体" w:eastAsia="仿宋_GB2312"/>
          <w:sz w:val="32"/>
          <w:szCs w:val="32"/>
        </w:rPr>
        <w:t>万元、靖州县乒羽馆维修项目</w:t>
      </w:r>
      <w:r>
        <w:rPr>
          <w:rFonts w:ascii="仿宋_GB2312" w:hAnsi="宋体" w:eastAsia="仿宋_GB2312"/>
          <w:sz w:val="32"/>
          <w:szCs w:val="32"/>
        </w:rPr>
        <w:t>2</w:t>
      </w:r>
      <w:r>
        <w:rPr>
          <w:rFonts w:hint="eastAsia" w:ascii="仿宋_GB2312" w:hAnsi="宋体" w:eastAsia="仿宋_GB2312"/>
          <w:sz w:val="32"/>
          <w:szCs w:val="32"/>
        </w:rPr>
        <w:t>0.00万元、古丈县体育馆维修项目</w:t>
      </w:r>
      <w:r>
        <w:rPr>
          <w:rFonts w:ascii="仿宋_GB2312" w:hAnsi="宋体" w:eastAsia="仿宋_GB2312"/>
          <w:sz w:val="32"/>
          <w:szCs w:val="32"/>
        </w:rPr>
        <w:t>20.00</w:t>
      </w:r>
      <w:r>
        <w:rPr>
          <w:rFonts w:hint="eastAsia" w:ascii="仿宋_GB2312" w:hAnsi="宋体" w:eastAsia="仿宋_GB2312"/>
          <w:sz w:val="32"/>
          <w:szCs w:val="32"/>
        </w:rPr>
        <w:t>万元、保靖县全民健身中心场馆维修项目</w:t>
      </w:r>
      <w:r>
        <w:rPr>
          <w:rFonts w:ascii="仿宋_GB2312" w:hAnsi="宋体" w:eastAsia="仿宋_GB2312"/>
          <w:sz w:val="32"/>
          <w:szCs w:val="32"/>
        </w:rPr>
        <w:t>20.00</w:t>
      </w:r>
      <w:r>
        <w:rPr>
          <w:rFonts w:hint="eastAsia" w:ascii="仿宋_GB2312" w:hAnsi="宋体" w:eastAsia="仿宋_GB2312"/>
          <w:sz w:val="32"/>
          <w:szCs w:val="32"/>
        </w:rPr>
        <w:t>万元等项目结余。</w:t>
      </w:r>
    </w:p>
    <w:p>
      <w:pPr>
        <w:ind w:firstLine="640" w:firstLineChars="200"/>
        <w:rPr>
          <w:rFonts w:ascii="仿宋_GB2312" w:hAnsi="宋体" w:eastAsia="仿宋_GB2312"/>
          <w:sz w:val="32"/>
          <w:szCs w:val="32"/>
        </w:rPr>
      </w:pPr>
      <w:r>
        <w:rPr>
          <w:rFonts w:hint="eastAsia" w:ascii="仿宋_GB2312" w:hAnsi="宋体" w:eastAsia="仿宋_GB2312"/>
          <w:sz w:val="32"/>
          <w:szCs w:val="32"/>
        </w:rPr>
        <w:t>结余原因: 宁乡县文体中心30万元专项指标已于2017年下达到宁乡县财政局，因需扣回湘财教指【201</w:t>
      </w:r>
      <w:r>
        <w:rPr>
          <w:rFonts w:ascii="仿宋_GB2312" w:hAnsi="宋体" w:eastAsia="仿宋_GB2312"/>
          <w:sz w:val="32"/>
          <w:szCs w:val="32"/>
        </w:rPr>
        <w:t>6</w:t>
      </w:r>
      <w:r>
        <w:rPr>
          <w:rFonts w:hint="eastAsia" w:ascii="仿宋_GB2312" w:hAnsi="宋体" w:eastAsia="仿宋_GB2312"/>
          <w:sz w:val="32"/>
          <w:szCs w:val="32"/>
        </w:rPr>
        <w:t>】</w:t>
      </w:r>
      <w:r>
        <w:rPr>
          <w:rFonts w:ascii="仿宋_GB2312" w:hAnsi="宋体" w:eastAsia="仿宋_GB2312"/>
          <w:sz w:val="32"/>
          <w:szCs w:val="32"/>
        </w:rPr>
        <w:t>208</w:t>
      </w:r>
      <w:r>
        <w:rPr>
          <w:rFonts w:hint="eastAsia" w:ascii="仿宋_GB2312" w:hAnsi="宋体" w:eastAsia="仿宋_GB2312"/>
          <w:sz w:val="32"/>
          <w:szCs w:val="32"/>
        </w:rPr>
        <w:t>号（65万元）多拨体育场免费低收费开放中央补助经费，故宁乡县财政暂未将此指标下达，经宁乡县文体中心与宁乡县财政局协商，此专项资金于2018年4月下达，经费下达后主要用于室外篮球场地面更换、体育馆内座椅和地板维修维护、体育场塑胶跑道维修维护；新宁县体育广场项目已实施，但由于年底各单位忙于决算工作，故投资评审中心对该局上报的关于老广场维修的项目报告迟迟没有批复，导致款项尚未支付形成结余；靖州县乒羽馆维修项目2017年未实施，2018年2月才完成招投标程序；</w:t>
      </w:r>
    </w:p>
    <w:p>
      <w:pPr>
        <w:rPr>
          <w:rFonts w:ascii="仿宋_GB2312" w:hAnsi="宋体" w:eastAsia="仿宋_GB2312"/>
          <w:sz w:val="32"/>
          <w:szCs w:val="32"/>
        </w:rPr>
      </w:pPr>
      <w:r>
        <w:rPr>
          <w:rFonts w:hint="eastAsia" w:ascii="仿宋_GB2312" w:hAnsi="宋体" w:eastAsia="仿宋_GB2312"/>
          <w:sz w:val="32"/>
          <w:szCs w:val="32"/>
        </w:rPr>
        <w:t>古丈县体育馆维修项目和保靖县全民健身中心场馆维修项目因未能及时与地方财政沟通申请资金使用致使年度内项目未实施形成资金结余。</w:t>
      </w:r>
    </w:p>
    <w:p>
      <w:pPr>
        <w:ind w:firstLine="960" w:firstLineChars="300"/>
        <w:rPr>
          <w:rFonts w:ascii="仿宋_GB2312" w:hAnsi="宋体" w:eastAsia="仿宋_GB2312"/>
          <w:sz w:val="32"/>
          <w:szCs w:val="32"/>
        </w:rPr>
      </w:pPr>
      <w:r>
        <w:rPr>
          <w:rFonts w:ascii="仿宋_GB2312" w:hAnsi="宋体" w:eastAsia="仿宋_GB2312"/>
          <w:sz w:val="32"/>
          <w:szCs w:val="32"/>
        </w:rPr>
        <w:t>5</w:t>
      </w:r>
      <w:r>
        <w:rPr>
          <w:rFonts w:hint="eastAsia" w:ascii="仿宋_GB2312" w:hAnsi="宋体" w:eastAsia="仿宋_GB2312"/>
          <w:sz w:val="32"/>
          <w:szCs w:val="32"/>
        </w:rPr>
        <w:t>、体育后备人才培养专项资金</w:t>
      </w:r>
      <w:r>
        <w:rPr>
          <w:rFonts w:ascii="仿宋_GB2312" w:hAnsi="宋体" w:eastAsia="仿宋_GB2312"/>
          <w:sz w:val="32"/>
          <w:szCs w:val="32"/>
        </w:rPr>
        <w:t>500</w:t>
      </w:r>
      <w:r>
        <w:rPr>
          <w:rFonts w:hint="eastAsia" w:ascii="仿宋_GB2312" w:hAnsi="宋体" w:eastAsia="仿宋_GB2312"/>
          <w:sz w:val="32"/>
          <w:szCs w:val="32"/>
        </w:rPr>
        <w:t>万元，主要用于省内各地市体育训练管理中心皮划艇、赛艇、射击基地等</w:t>
      </w:r>
      <w:r>
        <w:rPr>
          <w:rFonts w:ascii="仿宋_GB2312" w:hAnsi="宋体" w:eastAsia="仿宋_GB2312"/>
          <w:sz w:val="32"/>
          <w:szCs w:val="32"/>
        </w:rPr>
        <w:t>14</w:t>
      </w:r>
      <w:r>
        <w:rPr>
          <w:rFonts w:hint="eastAsia" w:ascii="仿宋_GB2312" w:hAnsi="宋体" w:eastAsia="仿宋_GB2312"/>
          <w:sz w:val="32"/>
          <w:szCs w:val="32"/>
        </w:rPr>
        <w:t>个体育后备人才培养基地体育后备人才培养的扶持。项目资金省财政于</w:t>
      </w:r>
      <w:r>
        <w:rPr>
          <w:rFonts w:ascii="仿宋_GB2312" w:hAnsi="宋体" w:eastAsia="仿宋_GB2312"/>
          <w:sz w:val="32"/>
          <w:szCs w:val="32"/>
        </w:rPr>
        <w:t>2017</w:t>
      </w:r>
      <w:r>
        <w:rPr>
          <w:rFonts w:hint="eastAsia" w:ascii="仿宋_GB2312" w:hAnsi="宋体" w:eastAsia="仿宋_GB2312"/>
          <w:sz w:val="32"/>
          <w:szCs w:val="32"/>
        </w:rPr>
        <w:t>年直接下达至各市区，各单位资金全部到位，实际使用资金</w:t>
      </w:r>
      <w:r>
        <w:rPr>
          <w:rFonts w:ascii="仿宋_GB2312" w:hAnsi="宋体" w:eastAsia="仿宋_GB2312"/>
          <w:sz w:val="32"/>
          <w:szCs w:val="32"/>
        </w:rPr>
        <w:t>493.77</w:t>
      </w:r>
      <w:r>
        <w:rPr>
          <w:rFonts w:hint="eastAsia" w:ascii="仿宋_GB2312" w:hAnsi="宋体" w:eastAsia="仿宋_GB2312"/>
          <w:sz w:val="32"/>
          <w:szCs w:val="32"/>
        </w:rPr>
        <w:t>万元，结余6.23万元。结余原因为郴州市体育学校资兴皮划艇、赛艇基地体育后备人才培养项目购买一批体育用品器材由于销售方发票存在问题，导致款项暂未支付形成结余。</w:t>
      </w:r>
    </w:p>
    <w:p>
      <w:pPr>
        <w:pStyle w:val="10"/>
        <w:spacing w:line="240" w:lineRule="auto"/>
        <w:ind w:firstLine="640" w:firstLineChars="200"/>
        <w:jc w:val="both"/>
        <w:outlineLvl w:val="9"/>
        <w:rPr>
          <w:rFonts w:ascii="黑体" w:eastAsia="黑体"/>
          <w:b w:val="0"/>
          <w:sz w:val="32"/>
          <w:szCs w:val="32"/>
        </w:rPr>
      </w:pPr>
      <w:r>
        <w:rPr>
          <w:rFonts w:hint="eastAsia" w:ascii="黑体" w:hAnsi="宋体" w:eastAsia="黑体"/>
          <w:b w:val="0"/>
          <w:sz w:val="32"/>
          <w:szCs w:val="32"/>
        </w:rPr>
        <w:t>二、项目组织实施情况</w:t>
      </w:r>
    </w:p>
    <w:p>
      <w:pPr>
        <w:ind w:firstLine="640" w:firstLineChars="200"/>
        <w:rPr>
          <w:rFonts w:ascii="楷体_GB2312" w:eastAsia="楷体_GB2312"/>
          <w:sz w:val="32"/>
          <w:szCs w:val="32"/>
        </w:rPr>
      </w:pPr>
      <w:r>
        <w:rPr>
          <w:rFonts w:hint="eastAsia" w:ascii="楷体_GB2312" w:hAnsi="宋体" w:eastAsia="楷体_GB2312"/>
          <w:sz w:val="32"/>
          <w:szCs w:val="32"/>
        </w:rPr>
        <w:t>（一）项目组织管理情况</w:t>
      </w:r>
    </w:p>
    <w:p>
      <w:pPr>
        <w:ind w:firstLine="640" w:firstLineChars="200"/>
        <w:rPr>
          <w:rFonts w:ascii="仿宋_GB2312" w:eastAsia="仿宋_GB2312"/>
          <w:sz w:val="32"/>
          <w:szCs w:val="32"/>
        </w:rPr>
      </w:pPr>
      <w:r>
        <w:rPr>
          <w:rFonts w:hint="eastAsia" w:ascii="仿宋_GB2312" w:hAnsi="宋体" w:eastAsia="仿宋_GB2312"/>
          <w:sz w:val="32"/>
          <w:szCs w:val="32"/>
        </w:rPr>
        <w:t>项目申请单位根据项目归口部门，负责各个专项资金项目可行性论证与可研的编制，负责专项资金项目备案、申请及报批工作，负责专项资金对应项目评价、验收与对外对上汇报工作，负责对项目承担单位专项资金的申请进行指导，提供技术支持等。项目承担单位负责本部门专项资金项目的前期组织、项目试验、项目运行及相关管理工作，负责资金使用台账的建立及情况说明，进行资金使用各阶段的小结及统计，负责项目运行各阶段的总结及数据统计工作，做好项目验收准备工作。其他各相关部门根据归口及部门职责，负责专项资金项目运行各过程中的配合工作，包括项目委托外协、项目采购、项目报批、运行管理等。</w:t>
      </w:r>
    </w:p>
    <w:p>
      <w:pPr>
        <w:ind w:firstLine="640" w:firstLineChars="200"/>
        <w:rPr>
          <w:rFonts w:ascii="仿宋_GB2312" w:eastAsia="仿宋_GB2312"/>
          <w:sz w:val="32"/>
          <w:szCs w:val="32"/>
        </w:rPr>
      </w:pPr>
      <w:r>
        <w:rPr>
          <w:rFonts w:hint="eastAsia" w:ascii="仿宋_GB2312" w:hAnsi="宋体" w:eastAsia="仿宋_GB2312"/>
          <w:sz w:val="32"/>
          <w:szCs w:val="32"/>
        </w:rPr>
        <w:t>为了确保体育发展专项资金专款专用，防止和杜绝违规现象发生，最大化发挥其社会效益，湖南省体育局局本级及各二级单位都建立了严格有效的约束机制，强化资金管理。一是制定了资金管理办法，为资金的使用范围、会计核算等提供了政策依据；二是严格执行资金的拨付程序，促进各项工作的落实；三是实行专款专账管理制度，各单位在项目支出账户内设置场馆维修经费等项目专门科目，严格列支与项目有关的各项支出；四是加强检查督导，对项目单位资金的使用和管理是否合规、资金是否及时足额拨付等情况进行监督检查。整体来看，各项目实施单位对专项资金的管理和使用比较规范，严格按照</w:t>
      </w:r>
      <w:r>
        <w:rPr>
          <w:rFonts w:hint="eastAsia" w:ascii="仿宋_GB2312" w:hAnsi="宋体" w:eastAsia="仿宋_GB2312" w:cs="宋体"/>
          <w:sz w:val="32"/>
          <w:szCs w:val="32"/>
        </w:rPr>
        <w:t>《湖南省体育发展专项资金管理办法》、</w:t>
      </w:r>
      <w:r>
        <w:rPr>
          <w:rFonts w:hint="eastAsia" w:ascii="仿宋_GB2312" w:hAnsi="宋体" w:eastAsia="仿宋_GB2312"/>
          <w:sz w:val="32"/>
          <w:szCs w:val="32"/>
        </w:rPr>
        <w:t>《湖南省体育运动员贯彻</w:t>
      </w:r>
      <w:r>
        <w:rPr>
          <w:rFonts w:ascii="仿宋_GB2312" w:hAnsi="宋体" w:eastAsia="仿宋_GB2312"/>
          <w:sz w:val="32"/>
          <w:szCs w:val="32"/>
        </w:rPr>
        <w:t>&lt;</w:t>
      </w:r>
      <w:r>
        <w:rPr>
          <w:rFonts w:hint="eastAsia" w:ascii="仿宋_GB2312" w:hAnsi="宋体" w:eastAsia="仿宋_GB2312"/>
          <w:sz w:val="32"/>
          <w:szCs w:val="32"/>
        </w:rPr>
        <w:t>事业单位工作人员收入分配制度改革方案</w:t>
      </w:r>
      <w:r>
        <w:rPr>
          <w:rFonts w:ascii="仿宋_GB2312" w:hAnsi="宋体" w:eastAsia="仿宋_GB2312"/>
          <w:sz w:val="32"/>
          <w:szCs w:val="32"/>
        </w:rPr>
        <w:t xml:space="preserve"> &gt;</w:t>
      </w:r>
      <w:r>
        <w:rPr>
          <w:rFonts w:hint="eastAsia" w:ascii="仿宋_GB2312" w:hAnsi="宋体" w:eastAsia="仿宋_GB2312"/>
          <w:sz w:val="32"/>
          <w:szCs w:val="32"/>
        </w:rPr>
        <w:t>的实施意见的通知》、《运动员教练员奖励实施办法》、《湖南省体育局财务管理办法》、《湖南省体育局政府采购管理办法》、《全国体育场地维修专项补助经费管理办法》、《湖南省体育局基本建设和维修专项资金管理办法（试行）》等规定执行。</w:t>
      </w:r>
    </w:p>
    <w:p>
      <w:pPr>
        <w:ind w:firstLine="640" w:firstLineChars="200"/>
        <w:rPr>
          <w:rFonts w:ascii="楷体_GB2312" w:hAnsi="宋体" w:eastAsia="楷体_GB2312"/>
          <w:sz w:val="32"/>
          <w:szCs w:val="32"/>
        </w:rPr>
      </w:pPr>
    </w:p>
    <w:p>
      <w:pPr>
        <w:ind w:firstLine="640" w:firstLineChars="200"/>
        <w:rPr>
          <w:rFonts w:ascii="楷体_GB2312" w:hAnsi="宋体" w:eastAsia="楷体_GB2312"/>
          <w:sz w:val="32"/>
          <w:szCs w:val="32"/>
        </w:rPr>
      </w:pPr>
      <w:r>
        <w:rPr>
          <w:rFonts w:hint="eastAsia" w:ascii="楷体_GB2312" w:hAnsi="宋体" w:eastAsia="楷体_GB2312"/>
          <w:sz w:val="32"/>
          <w:szCs w:val="32"/>
        </w:rPr>
        <w:t>（二）项目资金管理情况</w:t>
      </w:r>
    </w:p>
    <w:p>
      <w:pPr>
        <w:ind w:firstLine="640" w:firstLineChars="200"/>
        <w:rPr>
          <w:rFonts w:ascii="仿宋_GB2312" w:eastAsia="仿宋_GB2312"/>
          <w:sz w:val="32"/>
          <w:szCs w:val="32"/>
        </w:rPr>
      </w:pPr>
      <w:r>
        <w:rPr>
          <w:rFonts w:ascii="仿宋_GB2312" w:hAnsi="宋体" w:eastAsia="仿宋_GB2312"/>
          <w:sz w:val="32"/>
          <w:szCs w:val="32"/>
        </w:rPr>
        <w:t>2017</w:t>
      </w:r>
      <w:r>
        <w:rPr>
          <w:rFonts w:hint="eastAsia" w:ascii="仿宋_GB2312" w:hAnsi="宋体" w:eastAsia="仿宋_GB2312"/>
          <w:sz w:val="32"/>
          <w:szCs w:val="32"/>
        </w:rPr>
        <w:t>年度的省级体育发展专项项目支出要求严格按照项目内容，专款专用。使用专项资金时，全部通过国库集中支付。湖南省体育局制订详细的预算方案，由主管领导签字把关后，按逐级审批程序进行，专项资金由财政根据本级分管领导签字的审核方案进行分配，专项资金的使用严格按照预算方案进行，无特殊原因不得超出预算计划范围，若有特殊原因超出部分需按程序再次审批，否则不予报销。</w:t>
      </w:r>
    </w:p>
    <w:p>
      <w:pPr>
        <w:ind w:firstLine="640" w:firstLineChars="200"/>
        <w:rPr>
          <w:rFonts w:ascii="仿宋_GB2312" w:eastAsia="仿宋_GB2312"/>
          <w:sz w:val="32"/>
          <w:szCs w:val="32"/>
        </w:rPr>
      </w:pPr>
      <w:r>
        <w:rPr>
          <w:rFonts w:hint="eastAsia" w:ascii="仿宋_GB2312" w:hAnsi="宋体" w:eastAsia="仿宋_GB2312"/>
          <w:sz w:val="32"/>
          <w:szCs w:val="32"/>
        </w:rPr>
        <w:t>湖南省体育局直属单位的项目资金一旦到位，从国库集中支付网上计划申报到请款都严格按照预算执行，坚持专款专用，各直属单位成立了财务管理小组，明确专职领导，坚持一支笔审批，使有限的资金发挥最大的效益。</w:t>
      </w:r>
    </w:p>
    <w:p>
      <w:pPr>
        <w:ind w:firstLine="640" w:firstLineChars="200"/>
        <w:rPr>
          <w:rFonts w:ascii="仿宋_GB2312" w:eastAsia="仿宋_GB2312"/>
          <w:sz w:val="32"/>
          <w:szCs w:val="32"/>
        </w:rPr>
      </w:pPr>
      <w:r>
        <w:rPr>
          <w:rFonts w:hint="eastAsia" w:ascii="仿宋_GB2312" w:hAnsi="宋体" w:eastAsia="仿宋_GB2312"/>
          <w:sz w:val="32"/>
          <w:szCs w:val="32"/>
        </w:rPr>
        <w:t>对市县转移支付项目资金由省财政在预算批复</w:t>
      </w:r>
      <w:r>
        <w:rPr>
          <w:rFonts w:ascii="仿宋_GB2312" w:hAnsi="宋体" w:eastAsia="仿宋_GB2312"/>
          <w:sz w:val="32"/>
          <w:szCs w:val="32"/>
        </w:rPr>
        <w:t>60</w:t>
      </w:r>
      <w:r>
        <w:rPr>
          <w:rFonts w:hint="eastAsia" w:ascii="仿宋_GB2312" w:hAnsi="宋体" w:eastAsia="仿宋_GB2312"/>
          <w:sz w:val="32"/>
          <w:szCs w:val="32"/>
        </w:rPr>
        <w:t>天内直接下达至市县各单位，要求项目实施单位严格按照资金补助范围和支出内容使用项目资金，如遇特殊情况确需调整使用范围和支出内容的，需报经湖南省财政和湖南省体育局批准。</w:t>
      </w:r>
    </w:p>
    <w:p>
      <w:pPr>
        <w:ind w:firstLine="640" w:firstLineChars="200"/>
        <w:rPr>
          <w:rFonts w:ascii="仿宋_GB2312" w:eastAsia="仿宋_GB2312"/>
          <w:sz w:val="32"/>
          <w:szCs w:val="32"/>
        </w:rPr>
      </w:pPr>
      <w:r>
        <w:rPr>
          <w:rFonts w:hint="eastAsia" w:ascii="仿宋_GB2312" w:hAnsi="宋体" w:eastAsia="仿宋_GB2312"/>
          <w:sz w:val="32"/>
          <w:szCs w:val="32"/>
        </w:rPr>
        <w:t>使用专项资金采购固定资产和列入采购目录的物品和建设项目都按照规定程序进行政府采购，公共体育设施建设的相关工程由各单位汇同财政部门进行了公开招投标、预决算评审和工程验收。</w:t>
      </w:r>
    </w:p>
    <w:p>
      <w:pPr>
        <w:pStyle w:val="10"/>
        <w:spacing w:line="240" w:lineRule="auto"/>
        <w:ind w:firstLine="640" w:firstLineChars="200"/>
        <w:jc w:val="both"/>
        <w:outlineLvl w:val="9"/>
        <w:rPr>
          <w:rFonts w:ascii="黑体" w:eastAsia="黑体"/>
          <w:b w:val="0"/>
          <w:sz w:val="32"/>
          <w:szCs w:val="32"/>
        </w:rPr>
      </w:pPr>
      <w:r>
        <w:rPr>
          <w:rFonts w:hint="eastAsia" w:ascii="黑体" w:hAnsi="宋体" w:eastAsia="黑体"/>
          <w:b w:val="0"/>
          <w:sz w:val="32"/>
          <w:szCs w:val="32"/>
        </w:rPr>
        <w:t>三、项目绩效评价情况</w:t>
      </w:r>
    </w:p>
    <w:p>
      <w:pPr>
        <w:pStyle w:val="10"/>
        <w:spacing w:line="240" w:lineRule="auto"/>
        <w:ind w:firstLine="640" w:firstLineChars="200"/>
        <w:jc w:val="both"/>
        <w:outlineLvl w:val="9"/>
        <w:rPr>
          <w:rFonts w:ascii="楷体_GB2312" w:eastAsia="楷体_GB2312"/>
          <w:b w:val="0"/>
          <w:sz w:val="32"/>
          <w:szCs w:val="32"/>
        </w:rPr>
      </w:pPr>
      <w:r>
        <w:rPr>
          <w:rFonts w:hint="eastAsia" w:ascii="楷体_GB2312" w:hAnsi="宋体" w:eastAsia="楷体_GB2312"/>
          <w:b w:val="0"/>
          <w:sz w:val="32"/>
          <w:szCs w:val="32"/>
        </w:rPr>
        <w:t>（一）绩效评价目的</w:t>
      </w:r>
    </w:p>
    <w:p>
      <w:pPr>
        <w:ind w:firstLine="640" w:firstLineChars="200"/>
        <w:rPr>
          <w:rFonts w:ascii="仿宋_GB2312" w:eastAsia="仿宋_GB2312"/>
          <w:sz w:val="32"/>
          <w:szCs w:val="32"/>
        </w:rPr>
      </w:pPr>
      <w:r>
        <w:rPr>
          <w:rFonts w:hint="eastAsia" w:ascii="仿宋_GB2312" w:hAnsi="宋体" w:eastAsia="仿宋_GB2312"/>
          <w:sz w:val="32"/>
          <w:szCs w:val="32"/>
        </w:rPr>
        <w:t>绩效评价的目的是为了了解体育发展专项资金使用情况及取得的效果，总结资金管理的经验，发现资金管理中存在的问题，为提高体育发展专项资金的使用效益，加强财政支出的规范化管理，健全和完善支出项目和资金使用管理办法，完善预算编制、加强绩效目标管理和绩效考核工作提供重要的参考依据，以及提出相关的建议和应采取的改进措施等。</w:t>
      </w:r>
    </w:p>
    <w:p>
      <w:pPr>
        <w:pStyle w:val="10"/>
        <w:spacing w:line="240" w:lineRule="auto"/>
        <w:ind w:firstLine="640" w:firstLineChars="200"/>
        <w:jc w:val="both"/>
        <w:outlineLvl w:val="9"/>
        <w:rPr>
          <w:rFonts w:ascii="楷体_GB2312" w:hAnsi="宋体" w:eastAsia="楷体_GB2312"/>
          <w:b w:val="0"/>
          <w:sz w:val="32"/>
          <w:szCs w:val="32"/>
        </w:rPr>
      </w:pPr>
      <w:r>
        <w:rPr>
          <w:rFonts w:hint="eastAsia" w:ascii="楷体_GB2312" w:hAnsi="宋体" w:eastAsia="楷体_GB2312"/>
          <w:b w:val="0"/>
          <w:sz w:val="32"/>
          <w:szCs w:val="32"/>
        </w:rPr>
        <w:t>（二）绩效评价过程</w:t>
      </w:r>
    </w:p>
    <w:p>
      <w:pPr>
        <w:pStyle w:val="9"/>
        <w:ind w:firstLine="640" w:firstLineChars="200"/>
        <w:jc w:val="both"/>
        <w:rPr>
          <w:rFonts w:ascii="仿宋_GB2312" w:hAnsi="宋体" w:eastAsia="仿宋_GB2312"/>
          <w:b w:val="0"/>
          <w:caps w:val="0"/>
          <w:color w:val="auto"/>
          <w:sz w:val="32"/>
          <w:szCs w:val="32"/>
        </w:rPr>
      </w:pPr>
      <w:r>
        <w:rPr>
          <w:rFonts w:ascii="仿宋_GB2312" w:hAnsi="宋体" w:eastAsia="仿宋_GB2312"/>
          <w:b w:val="0"/>
          <w:caps w:val="0"/>
          <w:color w:val="auto"/>
          <w:sz w:val="32"/>
          <w:szCs w:val="32"/>
        </w:rPr>
        <w:t>1</w:t>
      </w:r>
      <w:r>
        <w:rPr>
          <w:rFonts w:hint="eastAsia" w:ascii="仿宋_GB2312" w:hAnsi="宋体" w:eastAsia="仿宋_GB2312"/>
          <w:b w:val="0"/>
          <w:caps w:val="0"/>
          <w:color w:val="auto"/>
          <w:sz w:val="32"/>
          <w:szCs w:val="32"/>
        </w:rPr>
        <w:t>．成立绩效评价工作小组</w:t>
      </w:r>
    </w:p>
    <w:p>
      <w:pPr>
        <w:pStyle w:val="9"/>
        <w:ind w:firstLine="640" w:firstLineChars="200"/>
        <w:jc w:val="both"/>
        <w:rPr>
          <w:rFonts w:ascii="仿宋_GB2312" w:hAnsi="宋体" w:eastAsia="仿宋_GB2312"/>
          <w:b w:val="0"/>
          <w:caps w:val="0"/>
          <w:color w:val="auto"/>
          <w:sz w:val="32"/>
          <w:szCs w:val="32"/>
        </w:rPr>
      </w:pPr>
      <w:r>
        <w:rPr>
          <w:rFonts w:hint="eastAsia" w:ascii="仿宋_GB2312" w:hAnsi="宋体" w:eastAsia="仿宋_GB2312"/>
          <w:b w:val="0"/>
          <w:caps w:val="0"/>
          <w:color w:val="auto"/>
          <w:sz w:val="32"/>
          <w:szCs w:val="32"/>
        </w:rPr>
        <w:t>由湖南省体育局经济处牵头，局机关各业务相关处室会同湖南天平正大有限责任会计师事务所成立绩效评价工作小组，具体开展项目绩效评价工作。</w:t>
      </w:r>
    </w:p>
    <w:p>
      <w:pPr>
        <w:pStyle w:val="9"/>
        <w:ind w:firstLine="640" w:firstLineChars="200"/>
        <w:jc w:val="both"/>
        <w:rPr>
          <w:rFonts w:ascii="仿宋_GB2312" w:hAnsi="宋体" w:eastAsia="仿宋_GB2312"/>
          <w:b w:val="0"/>
          <w:caps w:val="0"/>
          <w:color w:val="auto"/>
          <w:sz w:val="32"/>
          <w:szCs w:val="32"/>
        </w:rPr>
      </w:pPr>
      <w:r>
        <w:rPr>
          <w:rFonts w:ascii="仿宋_GB2312" w:hAnsi="宋体" w:eastAsia="仿宋_GB2312"/>
          <w:b w:val="0"/>
          <w:caps w:val="0"/>
          <w:color w:val="auto"/>
          <w:sz w:val="32"/>
          <w:szCs w:val="32"/>
        </w:rPr>
        <w:t>2</w:t>
      </w:r>
      <w:r>
        <w:rPr>
          <w:rFonts w:hint="eastAsia" w:ascii="仿宋_GB2312" w:hAnsi="宋体" w:eastAsia="仿宋_GB2312"/>
          <w:b w:val="0"/>
          <w:caps w:val="0"/>
          <w:color w:val="auto"/>
          <w:sz w:val="32"/>
          <w:szCs w:val="32"/>
        </w:rPr>
        <w:t>．项目实施单位自评</w:t>
      </w:r>
    </w:p>
    <w:p>
      <w:pPr>
        <w:pStyle w:val="9"/>
        <w:ind w:firstLine="640" w:firstLineChars="200"/>
        <w:jc w:val="both"/>
        <w:rPr>
          <w:rFonts w:ascii="仿宋_GB2312" w:hAnsi="宋体" w:eastAsia="仿宋_GB2312"/>
          <w:b w:val="0"/>
          <w:caps w:val="0"/>
          <w:color w:val="auto"/>
          <w:sz w:val="32"/>
          <w:szCs w:val="32"/>
        </w:rPr>
      </w:pPr>
      <w:r>
        <w:rPr>
          <w:rFonts w:hint="eastAsia" w:ascii="仿宋_GB2312" w:hAnsi="宋体" w:eastAsia="仿宋_GB2312"/>
          <w:b w:val="0"/>
          <w:caps w:val="0"/>
          <w:color w:val="auto"/>
          <w:sz w:val="32"/>
          <w:szCs w:val="32"/>
        </w:rPr>
        <w:t>各项目实施单位根据《</w:t>
      </w:r>
      <w:r>
        <w:rPr>
          <w:rFonts w:ascii="仿宋_GB2312" w:hAnsi="宋体" w:eastAsia="仿宋_GB2312"/>
          <w:b w:val="0"/>
          <w:caps w:val="0"/>
          <w:color w:val="auto"/>
          <w:sz w:val="32"/>
          <w:szCs w:val="32"/>
        </w:rPr>
        <w:t>湖南省财政厅关于做好2017年度省级一般公共</w:t>
      </w:r>
      <w:r>
        <w:rPr>
          <w:rFonts w:hint="eastAsia" w:ascii="仿宋_GB2312" w:hAnsi="宋体" w:eastAsia="仿宋_GB2312"/>
          <w:b w:val="0"/>
          <w:caps w:val="0"/>
          <w:color w:val="auto"/>
          <w:sz w:val="32"/>
          <w:szCs w:val="32"/>
        </w:rPr>
        <w:t>预算</w:t>
      </w:r>
      <w:r>
        <w:rPr>
          <w:rFonts w:ascii="仿宋_GB2312" w:hAnsi="宋体" w:eastAsia="仿宋_GB2312"/>
          <w:b w:val="0"/>
          <w:caps w:val="0"/>
          <w:color w:val="auto"/>
          <w:sz w:val="32"/>
          <w:szCs w:val="32"/>
        </w:rPr>
        <w:t>专项资金绩效自评工作的通知</w:t>
      </w:r>
      <w:r>
        <w:rPr>
          <w:rFonts w:hint="eastAsia" w:ascii="仿宋_GB2312" w:hAnsi="宋体" w:eastAsia="仿宋_GB2312"/>
          <w:b w:val="0"/>
          <w:caps w:val="0"/>
          <w:color w:val="auto"/>
          <w:sz w:val="32"/>
          <w:szCs w:val="32"/>
        </w:rPr>
        <w:t>》（</w:t>
      </w:r>
      <w:r>
        <w:rPr>
          <w:rFonts w:hint="eastAsia" w:ascii="仿宋_GB2312" w:hAnsi="宋体" w:eastAsia="仿宋_GB2312" w:cs="宋体"/>
          <w:b w:val="0"/>
          <w:bCs/>
          <w:sz w:val="32"/>
          <w:szCs w:val="32"/>
        </w:rPr>
        <w:t>湘财绩〔</w:t>
      </w:r>
      <w:r>
        <w:rPr>
          <w:rFonts w:ascii="仿宋_GB2312" w:hAnsi="宋体" w:eastAsia="仿宋_GB2312" w:cs="宋体"/>
          <w:b w:val="0"/>
          <w:bCs/>
          <w:sz w:val="32"/>
          <w:szCs w:val="32"/>
        </w:rPr>
        <w:t>2018</w:t>
      </w:r>
      <w:r>
        <w:rPr>
          <w:rFonts w:hint="eastAsia" w:ascii="仿宋_GB2312" w:hAnsi="宋体" w:eastAsia="仿宋_GB2312" w:cs="宋体"/>
          <w:b w:val="0"/>
          <w:bCs/>
          <w:sz w:val="32"/>
          <w:szCs w:val="32"/>
        </w:rPr>
        <w:t>〕</w:t>
      </w:r>
      <w:r>
        <w:rPr>
          <w:rFonts w:ascii="仿宋_GB2312" w:hAnsi="宋体" w:eastAsia="仿宋_GB2312" w:cs="宋体"/>
          <w:b w:val="0"/>
          <w:bCs/>
          <w:sz w:val="32"/>
          <w:szCs w:val="32"/>
        </w:rPr>
        <w:t>3</w:t>
      </w:r>
      <w:r>
        <w:rPr>
          <w:rFonts w:hint="eastAsia" w:ascii="仿宋_GB2312" w:hAnsi="宋体" w:eastAsia="仿宋_GB2312" w:cs="宋体"/>
          <w:b w:val="0"/>
          <w:bCs/>
          <w:sz w:val="32"/>
          <w:szCs w:val="32"/>
        </w:rPr>
        <w:t>号）及</w:t>
      </w:r>
      <w:r>
        <w:rPr>
          <w:rFonts w:hint="eastAsia" w:ascii="仿宋_GB2312" w:hAnsi="宋体" w:eastAsia="仿宋_GB2312"/>
          <w:b w:val="0"/>
          <w:caps w:val="0"/>
          <w:color w:val="auto"/>
          <w:sz w:val="32"/>
          <w:szCs w:val="32"/>
        </w:rPr>
        <w:t>《湖南省体育局关于开展2017年度省级财政资金绩效自评工作的通知》（湘体经字</w:t>
      </w:r>
      <w:r>
        <w:rPr>
          <w:rFonts w:hint="eastAsia" w:ascii="仿宋_GB2312" w:hAnsi="宋体" w:eastAsia="仿宋_GB2312" w:cs="宋体"/>
          <w:b w:val="0"/>
          <w:bCs/>
          <w:sz w:val="32"/>
          <w:szCs w:val="32"/>
        </w:rPr>
        <w:t>〔</w:t>
      </w:r>
      <w:r>
        <w:rPr>
          <w:rFonts w:ascii="仿宋_GB2312" w:hAnsi="宋体" w:eastAsia="仿宋_GB2312" w:cs="宋体"/>
          <w:b w:val="0"/>
          <w:bCs/>
          <w:sz w:val="32"/>
          <w:szCs w:val="32"/>
        </w:rPr>
        <w:t>2018</w:t>
      </w:r>
      <w:r>
        <w:rPr>
          <w:rFonts w:hint="eastAsia" w:ascii="仿宋_GB2312" w:hAnsi="宋体" w:eastAsia="仿宋_GB2312" w:cs="宋体"/>
          <w:b w:val="0"/>
          <w:bCs/>
          <w:sz w:val="32"/>
          <w:szCs w:val="32"/>
        </w:rPr>
        <w:t>〕</w:t>
      </w:r>
      <w:r>
        <w:rPr>
          <w:rFonts w:hint="eastAsia" w:ascii="仿宋_GB2312" w:hAnsi="宋体" w:eastAsia="仿宋_GB2312"/>
          <w:b w:val="0"/>
          <w:caps w:val="0"/>
          <w:color w:val="auto"/>
          <w:sz w:val="32"/>
          <w:szCs w:val="32"/>
        </w:rPr>
        <w:t>8号）等文件要求开展项目自评工作。</w:t>
      </w:r>
    </w:p>
    <w:p>
      <w:pPr>
        <w:pStyle w:val="9"/>
        <w:ind w:firstLine="640" w:firstLineChars="200"/>
        <w:jc w:val="both"/>
        <w:rPr>
          <w:rFonts w:ascii="仿宋_GB2312" w:hAnsi="宋体" w:eastAsia="仿宋_GB2312"/>
          <w:b w:val="0"/>
          <w:caps w:val="0"/>
          <w:color w:val="auto"/>
          <w:sz w:val="32"/>
          <w:szCs w:val="32"/>
        </w:rPr>
      </w:pPr>
      <w:r>
        <w:rPr>
          <w:rFonts w:ascii="仿宋_GB2312" w:hAnsi="宋体" w:eastAsia="仿宋_GB2312"/>
          <w:b w:val="0"/>
          <w:caps w:val="0"/>
          <w:color w:val="auto"/>
          <w:sz w:val="32"/>
          <w:szCs w:val="32"/>
        </w:rPr>
        <w:t>3</w:t>
      </w:r>
      <w:r>
        <w:rPr>
          <w:rFonts w:hint="eastAsia" w:ascii="仿宋_GB2312" w:hAnsi="宋体" w:eastAsia="仿宋_GB2312"/>
          <w:b w:val="0"/>
          <w:caps w:val="0"/>
          <w:color w:val="auto"/>
          <w:sz w:val="32"/>
          <w:szCs w:val="32"/>
        </w:rPr>
        <w:t>．工作小组考评</w:t>
      </w:r>
    </w:p>
    <w:p>
      <w:pPr>
        <w:pStyle w:val="9"/>
        <w:ind w:firstLine="640" w:firstLineChars="200"/>
        <w:jc w:val="both"/>
        <w:rPr>
          <w:rFonts w:ascii="仿宋_GB2312" w:hAnsi="宋体" w:eastAsia="仿宋_GB2312"/>
          <w:b w:val="0"/>
          <w:caps w:val="0"/>
          <w:color w:val="auto"/>
          <w:sz w:val="32"/>
          <w:szCs w:val="32"/>
        </w:rPr>
      </w:pPr>
      <w:r>
        <w:rPr>
          <w:rFonts w:hint="eastAsia" w:ascii="仿宋_GB2312" w:hAnsi="宋体" w:eastAsia="仿宋_GB2312"/>
          <w:b w:val="0"/>
          <w:caps w:val="0"/>
          <w:color w:val="auto"/>
          <w:sz w:val="32"/>
          <w:szCs w:val="32"/>
        </w:rPr>
        <w:t>根据项目绩效评价工作要求收集整理、填报评价基础数据和相关资料，并对不低于项目资金</w:t>
      </w:r>
      <w:r>
        <w:rPr>
          <w:rFonts w:ascii="仿宋_GB2312" w:hAnsi="宋体" w:eastAsia="仿宋_GB2312"/>
          <w:b w:val="0"/>
          <w:caps w:val="0"/>
          <w:color w:val="auto"/>
          <w:sz w:val="32"/>
          <w:szCs w:val="32"/>
        </w:rPr>
        <w:t>30%</w:t>
      </w:r>
      <w:r>
        <w:rPr>
          <w:rFonts w:hint="eastAsia" w:ascii="仿宋_GB2312" w:hAnsi="宋体" w:eastAsia="仿宋_GB2312"/>
          <w:b w:val="0"/>
          <w:caps w:val="0"/>
          <w:color w:val="auto"/>
          <w:sz w:val="32"/>
          <w:szCs w:val="32"/>
        </w:rPr>
        <w:t>的实施单位进行现场检查，核实数据的全面性、真实性以及指标口径的一致性。湖南天平正大有限责任会计师事务所对各项目承担单位承担的项目进行抽查，现场抽查采取原始资料查阅、质询、复核等方式进行，记录与评价指标相关信息。现场抽查审核评价的项目数量和金额均按不低于项目总量的</w:t>
      </w:r>
      <w:r>
        <w:rPr>
          <w:rFonts w:ascii="仿宋_GB2312" w:hAnsi="宋体" w:eastAsia="仿宋_GB2312"/>
          <w:b w:val="0"/>
          <w:caps w:val="0"/>
          <w:color w:val="auto"/>
          <w:sz w:val="32"/>
          <w:szCs w:val="32"/>
        </w:rPr>
        <w:t>30%</w:t>
      </w:r>
      <w:r>
        <w:rPr>
          <w:rFonts w:hint="eastAsia" w:ascii="仿宋_GB2312" w:hAnsi="宋体" w:eastAsia="仿宋_GB2312"/>
          <w:b w:val="0"/>
          <w:caps w:val="0"/>
          <w:color w:val="auto"/>
          <w:sz w:val="32"/>
          <w:szCs w:val="32"/>
        </w:rPr>
        <w:t>的原则随机抽查确定。现场抽查资金数</w:t>
      </w:r>
      <w:r>
        <w:rPr>
          <w:rFonts w:ascii="仿宋_GB2312" w:hAnsi="宋体" w:eastAsia="仿宋_GB2312"/>
          <w:b w:val="0"/>
          <w:caps w:val="0"/>
          <w:color w:val="auto"/>
          <w:sz w:val="32"/>
          <w:szCs w:val="32"/>
        </w:rPr>
        <w:t>828.13</w:t>
      </w:r>
      <w:r>
        <w:rPr>
          <w:rFonts w:hint="eastAsia" w:ascii="仿宋_GB2312" w:hAnsi="宋体" w:eastAsia="仿宋_GB2312"/>
          <w:b w:val="0"/>
          <w:caps w:val="0"/>
          <w:color w:val="auto"/>
          <w:sz w:val="32"/>
          <w:szCs w:val="32"/>
        </w:rPr>
        <w:t>万元，项目数</w:t>
      </w:r>
      <w:r>
        <w:rPr>
          <w:rFonts w:ascii="仿宋_GB2312" w:hAnsi="宋体" w:eastAsia="仿宋_GB2312"/>
          <w:b w:val="0"/>
          <w:caps w:val="0"/>
          <w:color w:val="auto"/>
          <w:sz w:val="32"/>
          <w:szCs w:val="32"/>
        </w:rPr>
        <w:t>23</w:t>
      </w:r>
      <w:r>
        <w:rPr>
          <w:rFonts w:hint="eastAsia" w:ascii="仿宋_GB2312" w:hAnsi="宋体" w:eastAsia="仿宋_GB2312"/>
          <w:b w:val="0"/>
          <w:caps w:val="0"/>
          <w:color w:val="auto"/>
          <w:sz w:val="32"/>
          <w:szCs w:val="32"/>
        </w:rPr>
        <w:t>个，抽样金额占资金总量的</w:t>
      </w:r>
      <w:r>
        <w:rPr>
          <w:rFonts w:ascii="仿宋_GB2312" w:hAnsi="宋体" w:eastAsia="仿宋_GB2312"/>
          <w:b w:val="0"/>
          <w:caps w:val="0"/>
          <w:color w:val="auto"/>
          <w:sz w:val="32"/>
          <w:szCs w:val="32"/>
        </w:rPr>
        <w:t>48.12%</w:t>
      </w:r>
      <w:r>
        <w:rPr>
          <w:rFonts w:hint="eastAsia" w:ascii="仿宋_GB2312" w:hAnsi="宋体" w:eastAsia="仿宋_GB2312"/>
          <w:b w:val="0"/>
          <w:caps w:val="0"/>
          <w:color w:val="auto"/>
          <w:sz w:val="32"/>
          <w:szCs w:val="32"/>
        </w:rPr>
        <w:t>，抽样项目数达项目总量</w:t>
      </w:r>
      <w:r>
        <w:rPr>
          <w:rFonts w:ascii="仿宋_GB2312" w:hAnsi="宋体" w:eastAsia="仿宋_GB2312"/>
          <w:b w:val="0"/>
          <w:caps w:val="0"/>
          <w:color w:val="auto"/>
          <w:sz w:val="32"/>
          <w:szCs w:val="32"/>
        </w:rPr>
        <w:t>30%</w:t>
      </w:r>
      <w:r>
        <w:rPr>
          <w:rFonts w:hint="eastAsia" w:ascii="仿宋_GB2312" w:hAnsi="宋体" w:eastAsia="仿宋_GB2312"/>
          <w:b w:val="0"/>
          <w:caps w:val="0"/>
          <w:color w:val="auto"/>
          <w:sz w:val="32"/>
          <w:szCs w:val="32"/>
        </w:rPr>
        <w:t>。</w:t>
      </w:r>
    </w:p>
    <w:p>
      <w:pPr>
        <w:ind w:firstLine="640" w:firstLineChars="200"/>
        <w:rPr>
          <w:rFonts w:ascii="仿宋_GB2312" w:eastAsia="仿宋_GB2312"/>
          <w:b/>
          <w:caps/>
          <w:sz w:val="32"/>
          <w:szCs w:val="32"/>
        </w:rPr>
      </w:pPr>
      <w:r>
        <w:rPr>
          <w:rFonts w:ascii="仿宋_GB2312" w:hAnsi="宋体" w:eastAsia="仿宋_GB2312"/>
          <w:sz w:val="32"/>
          <w:szCs w:val="32"/>
        </w:rPr>
        <w:t>4</w:t>
      </w:r>
      <w:r>
        <w:rPr>
          <w:rFonts w:hint="eastAsia" w:ascii="仿宋_GB2312" w:hAnsi="宋体" w:eastAsia="仿宋_GB2312"/>
          <w:sz w:val="32"/>
          <w:szCs w:val="32"/>
        </w:rPr>
        <w:t>．汇总分析，撰写评价报告</w:t>
      </w:r>
    </w:p>
    <w:p>
      <w:pPr>
        <w:ind w:firstLine="640" w:firstLineChars="200"/>
        <w:rPr>
          <w:rFonts w:ascii="仿宋_GB2312" w:eastAsia="仿宋_GB2312"/>
          <w:b/>
          <w:caps/>
          <w:sz w:val="32"/>
          <w:szCs w:val="32"/>
        </w:rPr>
      </w:pPr>
      <w:r>
        <w:rPr>
          <w:rFonts w:hint="eastAsia" w:ascii="仿宋_GB2312" w:hAnsi="宋体" w:eastAsia="仿宋_GB2312"/>
          <w:sz w:val="32"/>
          <w:szCs w:val="32"/>
        </w:rPr>
        <w:t>根据审核后的各项目承担单位报送的，基础数据表和项目绩效报告，以及现场抽查的项目评价、评分情况，对基础数据进行汇总和综合分析，形成绩效评价报告。</w:t>
      </w:r>
    </w:p>
    <w:p>
      <w:pPr>
        <w:pStyle w:val="10"/>
        <w:spacing w:line="240" w:lineRule="auto"/>
        <w:ind w:firstLine="640" w:firstLineChars="200"/>
        <w:jc w:val="both"/>
        <w:outlineLvl w:val="9"/>
        <w:rPr>
          <w:rFonts w:ascii="黑体" w:hAnsi="宋体" w:eastAsia="黑体"/>
          <w:b w:val="0"/>
          <w:sz w:val="32"/>
          <w:szCs w:val="32"/>
        </w:rPr>
      </w:pPr>
      <w:r>
        <w:rPr>
          <w:rFonts w:hint="eastAsia" w:ascii="黑体" w:hAnsi="宋体" w:eastAsia="黑体"/>
          <w:b w:val="0"/>
          <w:sz w:val="32"/>
          <w:szCs w:val="32"/>
        </w:rPr>
        <w:t>四、项目主要绩效</w:t>
      </w:r>
    </w:p>
    <w:p>
      <w:pPr>
        <w:pStyle w:val="10"/>
        <w:spacing w:line="240" w:lineRule="auto"/>
        <w:ind w:firstLine="640" w:firstLineChars="200"/>
        <w:jc w:val="both"/>
        <w:outlineLvl w:val="9"/>
        <w:rPr>
          <w:rFonts w:ascii="楷体_GB2312" w:hAnsi="宋体" w:eastAsia="楷体_GB2312"/>
          <w:b w:val="0"/>
          <w:sz w:val="32"/>
          <w:szCs w:val="32"/>
        </w:rPr>
      </w:pPr>
      <w:r>
        <w:rPr>
          <w:rFonts w:hint="eastAsia" w:ascii="楷体_GB2312" w:hAnsi="宋体" w:eastAsia="楷体_GB2312"/>
          <w:b w:val="0"/>
          <w:sz w:val="32"/>
          <w:szCs w:val="32"/>
        </w:rPr>
        <w:t>（一）运动员常年赛成绩奖</w:t>
      </w:r>
    </w:p>
    <w:p>
      <w:pPr>
        <w:ind w:firstLine="640" w:firstLineChars="200"/>
        <w:rPr>
          <w:rFonts w:ascii="仿宋_GB2312" w:hAnsi="宋体" w:eastAsia="仿宋_GB2312"/>
          <w:sz w:val="32"/>
          <w:szCs w:val="32"/>
        </w:rPr>
      </w:pPr>
      <w:r>
        <w:rPr>
          <w:rFonts w:hint="eastAsia" w:ascii="仿宋_GB2312" w:hAnsi="宋体" w:eastAsia="仿宋_GB2312"/>
          <w:sz w:val="32"/>
          <w:szCs w:val="32"/>
        </w:rPr>
        <w:t>通过运动员常年赛成绩奖的实施，对运动员给予一定的鼓励，在一定程度上缓解了在训优秀运动员训练津贴过低的矛盾，有效促使</w:t>
      </w:r>
      <w:r>
        <w:rPr>
          <w:rFonts w:ascii="仿宋_GB2312" w:hAnsi="宋体" w:eastAsia="仿宋_GB2312"/>
          <w:sz w:val="32"/>
          <w:szCs w:val="32"/>
        </w:rPr>
        <w:t>国家队运动员在比赛中顽强拼搏、为国争光，树立爱国主义和集体主义观念，更好地调动各方面积极性，促进体育事业健康发展</w:t>
      </w:r>
      <w:r>
        <w:rPr>
          <w:rFonts w:hint="eastAsia" w:ascii="仿宋_GB2312" w:hAnsi="宋体" w:eastAsia="仿宋_GB2312"/>
          <w:sz w:val="32"/>
          <w:szCs w:val="32"/>
        </w:rPr>
        <w:t>。2017年，我省运动员积极进取，顽强拼搏，在国内外比赛中，获得世界冠军2个，亚洲冠军6个，全国冠军57个。在射击、田径项目上打破15项省纪录，射击项目新创6项省纪录、7项省青少年纪录，为我省体育事业的发展贡献了力量。</w:t>
      </w:r>
    </w:p>
    <w:p>
      <w:pPr>
        <w:pStyle w:val="10"/>
        <w:spacing w:line="240" w:lineRule="auto"/>
        <w:ind w:firstLine="640" w:firstLineChars="200"/>
        <w:jc w:val="both"/>
        <w:outlineLvl w:val="9"/>
        <w:rPr>
          <w:rFonts w:ascii="楷体_GB2312" w:hAnsi="宋体" w:eastAsia="楷体_GB2312"/>
          <w:b w:val="0"/>
          <w:sz w:val="32"/>
          <w:szCs w:val="32"/>
        </w:rPr>
      </w:pPr>
      <w:r>
        <w:rPr>
          <w:rFonts w:hint="eastAsia" w:ascii="楷体_GB2312" w:hAnsi="宋体" w:eastAsia="楷体_GB2312"/>
          <w:b w:val="0"/>
          <w:sz w:val="32"/>
          <w:szCs w:val="32"/>
        </w:rPr>
        <w:t>（二）系统内体育场馆维修</w:t>
      </w:r>
    </w:p>
    <w:p>
      <w:pPr>
        <w:ind w:firstLine="640" w:firstLineChars="200"/>
        <w:rPr>
          <w:rFonts w:ascii="仿宋_GB2312" w:eastAsia="仿宋_GB2312"/>
          <w:sz w:val="32"/>
          <w:szCs w:val="32"/>
        </w:rPr>
      </w:pPr>
      <w:r>
        <w:rPr>
          <w:rFonts w:hint="eastAsia" w:ascii="仿宋_GB2312" w:hAnsi="宋体" w:eastAsia="仿宋_GB2312"/>
          <w:sz w:val="32"/>
          <w:szCs w:val="32"/>
        </w:rPr>
        <w:t>系统内体育场馆维修项目实施，大大改善了湖南省省队运动员训练、学习、生活条件，在满足运动员训练、生活的基本需要的同时，优质优良后勤保障系统更好地促进了运动员的训练积极性，为优异成绩的取得提供了强有力的保障。较先进的体育场所提高了我省承办各类大型赛事的能力，不仅为运动员提供了更多的参赛机会，也为百姓观看精彩赛事、参与健身，开展大众体育活动提供了方便。</w:t>
      </w:r>
    </w:p>
    <w:p>
      <w:pPr>
        <w:pStyle w:val="10"/>
        <w:spacing w:line="240" w:lineRule="auto"/>
        <w:ind w:firstLine="640" w:firstLineChars="200"/>
        <w:jc w:val="both"/>
        <w:outlineLvl w:val="9"/>
        <w:rPr>
          <w:rFonts w:ascii="楷体_GB2312" w:hAnsi="宋体" w:eastAsia="楷体_GB2312"/>
          <w:b w:val="0"/>
          <w:sz w:val="32"/>
          <w:szCs w:val="32"/>
        </w:rPr>
      </w:pPr>
      <w:r>
        <w:rPr>
          <w:rFonts w:hint="eastAsia" w:ascii="楷体_GB2312" w:hAnsi="宋体" w:eastAsia="楷体_GB2312"/>
          <w:b w:val="0"/>
          <w:sz w:val="32"/>
          <w:szCs w:val="32"/>
        </w:rPr>
        <w:t>（三）群众体育活动专项</w:t>
      </w:r>
    </w:p>
    <w:p>
      <w:pPr>
        <w:ind w:firstLine="640" w:firstLineChars="200"/>
        <w:rPr>
          <w:rFonts w:ascii="仿宋_GB2312" w:hAnsi="宋体" w:eastAsia="仿宋_GB2312"/>
          <w:sz w:val="32"/>
          <w:szCs w:val="32"/>
        </w:rPr>
      </w:pPr>
      <w:r>
        <w:rPr>
          <w:rFonts w:hint="eastAsia" w:ascii="仿宋_GB2312" w:hAnsi="宋体" w:eastAsia="仿宋_GB2312"/>
          <w:sz w:val="32"/>
          <w:szCs w:val="32"/>
        </w:rPr>
        <w:t>2017成功举办中华龙舟大赛（长沙·芙蓉站），全国约67支队伍角逐，参赛人员达1600人，赛事的举办带动了长沙及周边的餐饮、住宿、旅游业的发展。同时，在本次</w:t>
      </w:r>
      <w:r>
        <w:rPr>
          <w:rFonts w:ascii="仿宋_GB2312" w:hAnsi="宋体" w:eastAsia="仿宋_GB2312"/>
          <w:sz w:val="32"/>
          <w:szCs w:val="32"/>
        </w:rPr>
        <w:t>比赛中湖南本土选手表现不俗，其中长沙芙蓉龙舟队分获职业男子100米第八名、200米第六名和500米第七名。湖南汨罗屈子获得青少年女子100米第四名、500米第四名，职业男子100米第三名、200米第七名、500米第八名。长沙千龙湖获得职业男子100米第五名、200米第五名、500米第六名</w:t>
      </w:r>
      <w:r>
        <w:rPr>
          <w:rFonts w:hint="eastAsia" w:ascii="仿宋_GB2312" w:hAnsi="宋体" w:eastAsia="仿宋_GB2312"/>
          <w:sz w:val="32"/>
          <w:szCs w:val="32"/>
        </w:rPr>
        <w:t>，通过高规格的赛事，促进了湖南龙舟运动水平的进一步发展。</w:t>
      </w:r>
    </w:p>
    <w:p>
      <w:pPr>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赛事共吸引了中央、省、市50余家媒体参与报道，</w:t>
      </w:r>
      <w:r>
        <w:rPr>
          <w:rFonts w:hint="eastAsia" w:ascii="Times New Roman" w:hAnsi="Times New Roman" w:eastAsia="仿宋_GB2312"/>
          <w:sz w:val="32"/>
          <w:szCs w:val="32"/>
        </w:rPr>
        <w:t>其中，</w:t>
      </w:r>
      <w:r>
        <w:rPr>
          <w:rFonts w:ascii="Times New Roman" w:hAnsi="Times New Roman" w:eastAsia="仿宋_GB2312"/>
          <w:sz w:val="32"/>
          <w:szCs w:val="32"/>
        </w:rPr>
        <w:t>中央电视台新闻联播对比赛进行了报道</w:t>
      </w:r>
      <w:r>
        <w:rPr>
          <w:rFonts w:hint="eastAsia" w:ascii="Times New Roman" w:hAnsi="Times New Roman" w:eastAsia="仿宋_GB2312"/>
          <w:sz w:val="32"/>
          <w:szCs w:val="32"/>
        </w:rPr>
        <w:t>，</w:t>
      </w:r>
      <w:r>
        <w:rPr>
          <w:rFonts w:ascii="Times New Roman" w:hAnsi="Times New Roman" w:eastAsia="仿宋_GB2312"/>
          <w:sz w:val="32"/>
          <w:szCs w:val="32"/>
        </w:rPr>
        <w:t>中央电视台、星辰在线、智慧长沙全程直播，新湖南、星辰在线、掌上长沙开辟了龙舟赛专栏。截</w:t>
      </w:r>
      <w:r>
        <w:rPr>
          <w:rFonts w:hint="eastAsia" w:ascii="Times New Roman" w:hAnsi="Times New Roman" w:eastAsia="仿宋_GB2312"/>
          <w:sz w:val="32"/>
          <w:szCs w:val="32"/>
        </w:rPr>
        <w:t>至比赛结束</w:t>
      </w:r>
      <w:r>
        <w:rPr>
          <w:rFonts w:ascii="Times New Roman" w:hAnsi="Times New Roman" w:eastAsia="仿宋_GB2312"/>
          <w:sz w:val="32"/>
          <w:szCs w:val="32"/>
        </w:rPr>
        <w:t>，共在各级各类媒体刊发原创报道142篇</w:t>
      </w:r>
      <w:r>
        <w:rPr>
          <w:rFonts w:hint="eastAsia" w:ascii="Times New Roman" w:hAnsi="Times New Roman" w:eastAsia="仿宋_GB2312"/>
          <w:sz w:val="32"/>
          <w:szCs w:val="32"/>
        </w:rPr>
        <w:t>。央视体育频道及cctv</w:t>
      </w:r>
      <w:r>
        <w:rPr>
          <w:rFonts w:ascii="Times New Roman" w:hAnsi="Times New Roman" w:eastAsia="仿宋_GB2312"/>
          <w:sz w:val="32"/>
          <w:szCs w:val="32"/>
        </w:rPr>
        <w:t>5</w:t>
      </w:r>
      <w:r>
        <w:rPr>
          <w:rFonts w:hint="eastAsia" w:ascii="Times New Roman" w:hAnsi="Times New Roman" w:eastAsia="仿宋_GB2312"/>
          <w:sz w:val="32"/>
          <w:szCs w:val="32"/>
        </w:rPr>
        <w:t>+</w:t>
      </w:r>
      <w:r>
        <w:rPr>
          <w:rFonts w:ascii="Times New Roman" w:hAnsi="Times New Roman" w:eastAsia="仿宋_GB2312"/>
          <w:sz w:val="32"/>
          <w:szCs w:val="32"/>
        </w:rPr>
        <w:t>对</w:t>
      </w:r>
      <w:r>
        <w:rPr>
          <w:rFonts w:hint="eastAsia" w:ascii="Times New Roman" w:hAnsi="Times New Roman" w:eastAsia="仿宋_GB2312"/>
          <w:sz w:val="32"/>
          <w:szCs w:val="32"/>
        </w:rPr>
        <w:t>两天</w:t>
      </w:r>
      <w:r>
        <w:rPr>
          <w:rFonts w:ascii="Times New Roman" w:hAnsi="Times New Roman" w:eastAsia="仿宋_GB2312"/>
          <w:sz w:val="32"/>
          <w:szCs w:val="32"/>
        </w:rPr>
        <w:t>赛事进行全程直播。通过高清画面直播、赛事宣传片的播放展示、央视主持人的精彩解说，湖南长沙悠久的历史文化、龙舟文化、经济社会发展和城市建设的美丽图景，人民群众的精神风貌、浏阳河的活力和魅力再次展现在世人面前，引起了社会各界的强烈反响，进一步提升了长沙山水洲城的美好形象。</w:t>
      </w:r>
    </w:p>
    <w:p>
      <w:pPr>
        <w:spacing w:line="360" w:lineRule="auto"/>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2017年全年培训健身教练人次达50余人，提高了我省教练员裁判员能力素质和大众参与全民健身意识。</w:t>
      </w:r>
    </w:p>
    <w:p>
      <w:pPr>
        <w:pStyle w:val="10"/>
        <w:spacing w:line="240" w:lineRule="auto"/>
        <w:ind w:firstLine="640" w:firstLineChars="200"/>
        <w:jc w:val="both"/>
        <w:outlineLvl w:val="9"/>
        <w:rPr>
          <w:rFonts w:ascii="楷体_GB2312" w:hAnsi="宋体" w:eastAsia="楷体_GB2312"/>
          <w:b w:val="0"/>
          <w:sz w:val="32"/>
          <w:szCs w:val="32"/>
        </w:rPr>
      </w:pPr>
      <w:r>
        <w:rPr>
          <w:rFonts w:hint="eastAsia" w:ascii="楷体_GB2312" w:hAnsi="宋体" w:eastAsia="楷体_GB2312"/>
          <w:b w:val="0"/>
          <w:sz w:val="32"/>
          <w:szCs w:val="32"/>
        </w:rPr>
        <w:t>（四）群众体育设施维修</w:t>
      </w:r>
    </w:p>
    <w:p>
      <w:pPr>
        <w:pStyle w:val="11"/>
        <w:ind w:firstLine="640" w:firstLineChars="200"/>
        <w:jc w:val="both"/>
        <w:rPr>
          <w:rFonts w:ascii="仿宋_GB2312" w:hAnsi="宋体" w:eastAsia="仿宋_GB2312"/>
          <w:sz w:val="32"/>
          <w:szCs w:val="32"/>
        </w:rPr>
      </w:pPr>
      <w:r>
        <w:rPr>
          <w:rFonts w:hint="eastAsia" w:ascii="仿宋_GB2312" w:hAnsi="宋体" w:eastAsia="仿宋_GB2312"/>
          <w:sz w:val="32"/>
          <w:szCs w:val="32"/>
        </w:rPr>
        <w:t>群众体育设施维修专项实施，改善了基层体育部门公共体育设施情况，为体育后备人才培养、百姓健身提供了优质的健身场所。体育场馆等公共设施通过免低收费等方式面向社会公众开放，已经成为体育惠民服务的重要内容，项目的实施极大地提高了城镇居民健身活动的开展，丰富了群众的业余生活，增强了人民的体质，通过项目建设，全民健身以良好的声誉获得人民的赞许，同时满足了人民群众对体育健身不断增长的发展需求，促进居民生活水平的进一步提高。如娄底全民健身</w:t>
      </w:r>
      <w:r>
        <w:rPr>
          <w:rFonts w:ascii="仿宋_GB2312" w:hAnsi="宋体" w:eastAsia="仿宋_GB2312"/>
          <w:sz w:val="32"/>
          <w:szCs w:val="32"/>
        </w:rPr>
        <w:t>中心三个自主经营场馆圆满完成了上级部门下达的免费低收费开放任务，体育馆全年接待人次达12.6万人次，同比增长5%。游泳馆全年接待人次达13.5万人次，同比增长4%。体育场全年接待人次达41万人次，同比增长3%，来体育公园健身休闲的人数达到60万人次，同比增长10%。2017</w:t>
      </w:r>
      <w:r>
        <w:rPr>
          <w:rFonts w:hint="eastAsia" w:ascii="仿宋_GB2312" w:hAnsi="宋体" w:eastAsia="仿宋_GB2312"/>
          <w:sz w:val="32"/>
          <w:szCs w:val="32"/>
        </w:rPr>
        <w:t>年</w:t>
      </w:r>
      <w:r>
        <w:rPr>
          <w:rFonts w:ascii="仿宋_GB2312" w:hAnsi="宋体" w:eastAsia="仿宋_GB2312"/>
          <w:sz w:val="32"/>
          <w:szCs w:val="32"/>
        </w:rPr>
        <w:t>承接、协办各类赛事活动近百场，同比去年增加5%，其中国际级的赛事有“拳星时代——世界极限格斗赛”；国家级赛事有“全国中老年人篮球赛”、“全国体育舞蹈大赛”、“全国大学生武术比赛”、“CCWBA中国中西部青少年篮球锦标赛年度总决赛”等7项；省级赛事活动有“第八届湘博会”、“青少年篮球锦标赛”、“青少年足球锦标赛”、“田径锦标赛”、“蹦床比赛”等8项；市级赛事活动包括有“市直机关篮球赛”、“市直机关足球联赛”、、“第十六届县处级干部篮球赛”等20多项。另与“微马”社团、“太极拳协会”等举办公益性文体赛事活动30余次。</w:t>
      </w:r>
    </w:p>
    <w:p>
      <w:pPr>
        <w:pStyle w:val="10"/>
        <w:spacing w:line="240" w:lineRule="auto"/>
        <w:ind w:firstLine="640" w:firstLineChars="200"/>
        <w:jc w:val="both"/>
        <w:outlineLvl w:val="9"/>
        <w:rPr>
          <w:rFonts w:ascii="楷体_GB2312" w:hAnsi="宋体" w:eastAsia="楷体_GB2312"/>
          <w:b w:val="0"/>
          <w:sz w:val="32"/>
          <w:szCs w:val="32"/>
        </w:rPr>
      </w:pPr>
      <w:r>
        <w:rPr>
          <w:rFonts w:hint="eastAsia" w:ascii="楷体_GB2312" w:hAnsi="宋体" w:eastAsia="楷体_GB2312"/>
          <w:b w:val="0"/>
          <w:sz w:val="32"/>
          <w:szCs w:val="32"/>
        </w:rPr>
        <w:t>（五）体育后备人才培养</w:t>
      </w:r>
    </w:p>
    <w:p>
      <w:pPr>
        <w:ind w:firstLine="640" w:firstLineChars="200"/>
        <w:rPr>
          <w:rFonts w:ascii="仿宋_GB2312" w:eastAsia="仿宋_GB2312"/>
          <w:sz w:val="32"/>
          <w:szCs w:val="32"/>
        </w:rPr>
      </w:pPr>
      <w:r>
        <w:rPr>
          <w:rFonts w:hint="eastAsia" w:ascii="仿宋_GB2312" w:eastAsia="仿宋_GB2312"/>
          <w:sz w:val="32"/>
          <w:szCs w:val="32"/>
        </w:rPr>
        <w:t>创国家高水平体育后备人才基地工作上台阶。经国家体育总局审定，我省13所学校被国家体育总局确定为“国家高水平体育后备人才基地（2017-2020）”，湖南省体校、湘西自治州体校被确定为国家重点高水平体育后备人才基地（2017-2020）（综合类），湘西古丈玉玲举重学校被确定为国家重点高水平体育后备人才基地（2017-2020）（单项类）。</w:t>
      </w:r>
    </w:p>
    <w:p>
      <w:pPr>
        <w:ind w:firstLine="640" w:firstLineChars="200"/>
        <w:rPr>
          <w:rFonts w:ascii="仿宋_GB2312" w:eastAsia="仿宋_GB2312"/>
          <w:sz w:val="32"/>
          <w:szCs w:val="32"/>
        </w:rPr>
      </w:pPr>
      <w:r>
        <w:rPr>
          <w:rFonts w:hint="eastAsia" w:ascii="仿宋_GB2312" w:eastAsia="仿宋_GB2312"/>
          <w:sz w:val="32"/>
          <w:szCs w:val="32"/>
        </w:rPr>
        <w:t>体育后备人才工作地位明显提高。全省各地党委、政府和相关学校领导对体育工作给予了高度重视，各地纷纷把“四强”工程创建工作摆上了政府工作的议事日程，写进了本地体育事业的发展规划，成立了以政府部门牵头，有关职能部门一把手参加的创建工作领导小组。如衡阳市珠晖区成立了由区长任组长，区分管领导任副组长，教育、财政等相关部门负责人为成员的网球后备人才基地建设工作领导小组，领导小组定期召开会议，具体研究、部署相关工作；永顺县将体育事业发展纳入经济社会发展总体规划，列入四个文明目标管理内容，同时把体育工作列入县委、政府工作议事日程，定期研究，促进体育事业发展，切实强化体育发展的地位。</w:t>
      </w:r>
    </w:p>
    <w:p>
      <w:pPr>
        <w:ind w:firstLine="640" w:firstLineChars="200"/>
        <w:rPr>
          <w:rFonts w:ascii="仿宋_GB2312" w:eastAsia="仿宋_GB2312"/>
          <w:sz w:val="32"/>
          <w:szCs w:val="32"/>
        </w:rPr>
      </w:pPr>
      <w:r>
        <w:rPr>
          <w:rFonts w:hint="eastAsia" w:ascii="仿宋_GB2312" w:eastAsia="仿宋_GB2312"/>
          <w:sz w:val="32"/>
          <w:szCs w:val="32"/>
        </w:rPr>
        <w:t>业训经费得到保障，场地器材设施设备建设标准高、功能全。各级政府的财政投入在预算中都已单列，并保证每个基地年投入20万元以上（不少的地方每年都有追加经费）。如：长沙市级财政设立体育后备人才基地专项经费，由政府每年给本市的各级体育后备人才基地配套经费；衡阳市政府给市级每个体育后备人才基地配套经费5万元；衡阳市财政将市体校由参照义务制管理学校完全纳入义务制管理统发全面纳入财政预算，学校落实了学生四类灶补助发放，每个运动员均享受国家四类灶补助。</w:t>
      </w:r>
    </w:p>
    <w:p>
      <w:pPr>
        <w:ind w:firstLine="640" w:firstLineChars="200"/>
        <w:rPr>
          <w:rFonts w:ascii="仿宋_GB2312" w:eastAsia="仿宋_GB2312"/>
          <w:sz w:val="32"/>
          <w:szCs w:val="32"/>
        </w:rPr>
      </w:pPr>
      <w:r>
        <w:rPr>
          <w:rFonts w:hint="eastAsia" w:ascii="仿宋_GB2312" w:eastAsia="仿宋_GB2312"/>
          <w:sz w:val="32"/>
          <w:szCs w:val="32"/>
        </w:rPr>
        <w:t>体教结合，大大增强了“四强”创建的综合实力。全省在“体教结合”方面各具特色，走出了一些新路子。自治州、衡阳市等地建立了以体校为龙头，以学校为依托的发展模式，并布局一定的网点学校，形成了良好的网络框架；株洲市皮划艇基地设在攸县三中，长沙市田径、篮球、羽毛球等项目由体育局派出教练，学校安排训练、学习和生活；新邵县体育局、教育局、新邵县第一中学联合创办皮划艇基地；衡南县教育局为车江镇初级中学提高在训队员的生源质量提供了有效的政策保障，在全县范围内凡有特殊潜质的学生，基地都有特殊的招生权，对较好的队员基地有向县重点高中的特殊保送权。全县上下多方联动，使基地学员选得精、招得足、苗子留得住，人才输送得出</w:t>
      </w:r>
      <w:r>
        <w:rPr>
          <w:rFonts w:hint="eastAsia" w:ascii="仿宋_GB2312" w:hAnsi="宋体" w:eastAsia="仿宋_GB2312" w:cs="宋体"/>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青少年体育苗子茁壮成长、竞技水平不断提高。2017年度，全省发掘和培养体育苗子 8400人（2017年度新注册运动员），向省专业队输送人才70人（进队运动员）。</w:t>
      </w:r>
    </w:p>
    <w:p>
      <w:pPr>
        <w:pStyle w:val="10"/>
        <w:spacing w:line="240" w:lineRule="auto"/>
        <w:ind w:firstLine="640" w:firstLineChars="200"/>
        <w:jc w:val="both"/>
        <w:outlineLvl w:val="9"/>
        <w:rPr>
          <w:rFonts w:ascii="黑体" w:hAnsi="宋体" w:eastAsia="黑体"/>
          <w:b w:val="0"/>
          <w:sz w:val="32"/>
          <w:szCs w:val="32"/>
        </w:rPr>
      </w:pPr>
      <w:r>
        <w:rPr>
          <w:rFonts w:hint="eastAsia" w:ascii="黑体" w:hAnsi="宋体" w:eastAsia="黑体"/>
          <w:b w:val="0"/>
          <w:sz w:val="32"/>
          <w:szCs w:val="32"/>
        </w:rPr>
        <w:t>五、综合评价结论</w:t>
      </w:r>
    </w:p>
    <w:p>
      <w:pPr>
        <w:ind w:firstLine="640" w:firstLineChars="200"/>
        <w:rPr>
          <w:rFonts w:ascii="仿宋_GB2312" w:eastAsia="仿宋_GB2312"/>
          <w:sz w:val="32"/>
          <w:szCs w:val="32"/>
        </w:rPr>
      </w:pPr>
      <w:r>
        <w:rPr>
          <w:rFonts w:hint="eastAsia" w:ascii="仿宋_GB2312" w:hAnsi="宋体" w:eastAsia="仿宋_GB2312"/>
          <w:sz w:val="32"/>
          <w:szCs w:val="32"/>
        </w:rPr>
        <w:t>湖南省体育局依据湖南省财政厅《</w:t>
      </w:r>
      <w:r>
        <w:rPr>
          <w:rFonts w:hint="eastAsia" w:ascii="仿宋_GB2312" w:hAnsi="宋体" w:eastAsia="仿宋_GB2312"/>
          <w:kern w:val="0"/>
          <w:sz w:val="32"/>
          <w:szCs w:val="32"/>
        </w:rPr>
        <w:t>湖南省财政厅关于下达2017的体育发展专项的通知》</w:t>
      </w:r>
      <w:r>
        <w:rPr>
          <w:rFonts w:hint="eastAsia" w:ascii="仿宋_GB2312" w:hAnsi="宋体" w:eastAsia="仿宋_GB2312"/>
          <w:sz w:val="32"/>
          <w:szCs w:val="32"/>
        </w:rPr>
        <w:t>》</w:t>
      </w:r>
      <w:r>
        <w:rPr>
          <w:rFonts w:hint="eastAsia" w:ascii="仿宋_GB2312" w:hAnsi="宋体" w:eastAsia="仿宋_GB2312"/>
          <w:kern w:val="0"/>
          <w:sz w:val="32"/>
          <w:szCs w:val="32"/>
        </w:rPr>
        <w:t>（湘财教指〔</w:t>
      </w:r>
      <w:r>
        <w:rPr>
          <w:rFonts w:ascii="仿宋_GB2312" w:hAnsi="宋体" w:eastAsia="仿宋_GB2312"/>
          <w:kern w:val="0"/>
          <w:sz w:val="32"/>
          <w:szCs w:val="32"/>
        </w:rPr>
        <w:t>2017</w:t>
      </w:r>
      <w:r>
        <w:rPr>
          <w:rFonts w:hint="eastAsia" w:ascii="仿宋_GB2312" w:hAnsi="宋体" w:eastAsia="仿宋_GB2312"/>
          <w:kern w:val="0"/>
          <w:sz w:val="32"/>
          <w:szCs w:val="32"/>
        </w:rPr>
        <w:t>〕1</w:t>
      </w:r>
      <w:r>
        <w:rPr>
          <w:rFonts w:ascii="仿宋_GB2312" w:hAnsi="宋体" w:eastAsia="仿宋_GB2312"/>
          <w:kern w:val="0"/>
          <w:sz w:val="32"/>
          <w:szCs w:val="32"/>
        </w:rPr>
        <w:t>4</w:t>
      </w:r>
      <w:r>
        <w:rPr>
          <w:rFonts w:hint="eastAsia" w:ascii="仿宋_GB2312" w:hAnsi="宋体" w:eastAsia="仿宋_GB2312"/>
          <w:kern w:val="0"/>
          <w:sz w:val="32"/>
          <w:szCs w:val="32"/>
        </w:rPr>
        <w:t>号）</w:t>
      </w:r>
      <w:r>
        <w:rPr>
          <w:rFonts w:hint="eastAsia" w:ascii="仿宋_GB2312" w:hAnsi="宋体" w:eastAsia="仿宋_GB2312"/>
          <w:sz w:val="32"/>
          <w:szCs w:val="32"/>
        </w:rPr>
        <w:t>，湖南省财政厅、湖南省体育局关于印发《湖南省体育发展专项资金管理办法》（湘财教〔</w:t>
      </w:r>
      <w:r>
        <w:rPr>
          <w:rFonts w:ascii="仿宋_GB2312" w:hAnsi="宋体" w:eastAsia="仿宋_GB2312"/>
          <w:sz w:val="32"/>
          <w:szCs w:val="32"/>
        </w:rPr>
        <w:t>2015</w:t>
      </w:r>
      <w:r>
        <w:rPr>
          <w:rFonts w:hint="eastAsia" w:ascii="仿宋_GB2312" w:hAnsi="宋体" w:eastAsia="仿宋_GB2312"/>
          <w:sz w:val="32"/>
          <w:szCs w:val="32"/>
        </w:rPr>
        <w:t>〕</w:t>
      </w:r>
      <w:r>
        <w:rPr>
          <w:rFonts w:ascii="仿宋_GB2312" w:hAnsi="宋体" w:eastAsia="仿宋_GB2312"/>
          <w:sz w:val="32"/>
          <w:szCs w:val="32"/>
        </w:rPr>
        <w:t>55</w:t>
      </w:r>
      <w:r>
        <w:rPr>
          <w:rFonts w:hint="eastAsia" w:ascii="仿宋_GB2312" w:hAnsi="宋体" w:eastAsia="仿宋_GB2312"/>
          <w:sz w:val="32"/>
          <w:szCs w:val="32"/>
        </w:rPr>
        <w:t>号）、《湖南省体育后备人才培养条例》（湖南省第十届人民代表大会常务委员会公告第</w:t>
      </w:r>
      <w:r>
        <w:rPr>
          <w:rFonts w:ascii="仿宋_GB2312" w:hAnsi="宋体" w:eastAsia="仿宋_GB2312"/>
          <w:sz w:val="32"/>
          <w:szCs w:val="32"/>
        </w:rPr>
        <w:t>77</w:t>
      </w:r>
      <w:r>
        <w:rPr>
          <w:rFonts w:hint="eastAsia" w:ascii="仿宋_GB2312" w:hAnsi="宋体" w:eastAsia="仿宋_GB2312"/>
          <w:sz w:val="32"/>
          <w:szCs w:val="32"/>
        </w:rPr>
        <w:t>号）等文件精神，以提高体育发展专项资金的使用效益、加强财政支出的规范化管理为重点，结合本省各地区的实际情况，较为合理地确定工作任务目标，进一步健全项目管理制度，强化体育发展专项绩效考核，开展群众体育活动，群众体育设施维修、体育场地的维修改造等，有力地推动了全省群众体育的健康发展，取得了良好经济效益和社会效益。</w:t>
      </w:r>
    </w:p>
    <w:p>
      <w:pPr>
        <w:ind w:firstLine="640" w:firstLineChars="200"/>
        <w:rPr>
          <w:rFonts w:ascii="仿宋_GB2312" w:hAnsi="宋体" w:eastAsia="仿宋_GB2312"/>
          <w:sz w:val="32"/>
          <w:szCs w:val="32"/>
        </w:rPr>
      </w:pPr>
      <w:r>
        <w:rPr>
          <w:rFonts w:hint="eastAsia" w:ascii="仿宋_GB2312" w:hAnsi="宋体" w:eastAsia="仿宋_GB2312"/>
          <w:sz w:val="32"/>
          <w:szCs w:val="32"/>
        </w:rPr>
        <w:t>按照《2017年度湖南省体育局“体育发展专项”绩效评价指标体系》的考评内容，从投入、过程、产出、</w:t>
      </w:r>
      <w:r>
        <w:rPr>
          <w:rFonts w:ascii="仿宋_GB2312" w:hAnsi="宋体" w:eastAsia="仿宋_GB2312"/>
          <w:sz w:val="32"/>
          <w:szCs w:val="32"/>
        </w:rPr>
        <w:t>效果</w:t>
      </w:r>
      <w:r>
        <w:rPr>
          <w:rFonts w:hint="eastAsia" w:ascii="仿宋_GB2312" w:hAnsi="宋体" w:eastAsia="仿宋_GB2312"/>
          <w:sz w:val="32"/>
          <w:szCs w:val="32"/>
        </w:rPr>
        <w:t>四大项指标逐一评分，各个项目支出合理、规范、有效，经济和社会效益良好，湖南省体育局</w:t>
      </w:r>
      <w:r>
        <w:rPr>
          <w:rFonts w:ascii="仿宋_GB2312" w:hAnsi="宋体" w:eastAsia="仿宋_GB2312"/>
          <w:sz w:val="32"/>
          <w:szCs w:val="32"/>
        </w:rPr>
        <w:t>2017</w:t>
      </w:r>
      <w:r>
        <w:rPr>
          <w:rFonts w:hint="eastAsia" w:ascii="仿宋_GB2312" w:hAnsi="宋体" w:eastAsia="仿宋_GB2312"/>
          <w:sz w:val="32"/>
          <w:szCs w:val="32"/>
        </w:rPr>
        <w:t>年度体育发展专项绩效评分得分为</w:t>
      </w:r>
      <w:r>
        <w:rPr>
          <w:rFonts w:ascii="仿宋_GB2312" w:hAnsi="宋体" w:eastAsia="仿宋_GB2312"/>
          <w:sz w:val="32"/>
          <w:szCs w:val="32"/>
        </w:rPr>
        <w:t>94</w:t>
      </w:r>
      <w:r>
        <w:rPr>
          <w:rFonts w:hint="eastAsia" w:ascii="仿宋_GB2312" w:hAnsi="宋体" w:eastAsia="仿宋_GB2312"/>
          <w:sz w:val="32"/>
          <w:szCs w:val="32"/>
        </w:rPr>
        <w:t>分，财政支出绩效为“优”。</w:t>
      </w:r>
    </w:p>
    <w:p>
      <w:pPr>
        <w:pStyle w:val="10"/>
        <w:spacing w:line="240" w:lineRule="auto"/>
        <w:ind w:firstLine="640" w:firstLineChars="200"/>
        <w:jc w:val="both"/>
        <w:outlineLvl w:val="9"/>
        <w:rPr>
          <w:rFonts w:ascii="黑体" w:hAnsi="宋体" w:eastAsia="黑体"/>
          <w:b w:val="0"/>
          <w:sz w:val="32"/>
          <w:szCs w:val="32"/>
        </w:rPr>
      </w:pPr>
      <w:r>
        <w:rPr>
          <w:rFonts w:hint="eastAsia" w:ascii="黑体" w:hAnsi="宋体" w:eastAsia="黑体"/>
          <w:b w:val="0"/>
          <w:sz w:val="32"/>
          <w:szCs w:val="32"/>
        </w:rPr>
        <w:t>六、其他需要说明的问题</w:t>
      </w:r>
    </w:p>
    <w:p>
      <w:pPr>
        <w:ind w:firstLine="320" w:firstLineChars="100"/>
        <w:rPr>
          <w:rFonts w:ascii="仿宋_GB2312" w:hAnsi="宋体" w:eastAsia="仿宋_GB2312"/>
          <w:sz w:val="32"/>
          <w:szCs w:val="32"/>
        </w:rPr>
      </w:pPr>
      <w:r>
        <w:rPr>
          <w:rFonts w:hint="eastAsia" w:ascii="仿宋_GB2312" w:hAnsi="宋体" w:eastAsia="仿宋_GB2312"/>
          <w:sz w:val="32"/>
          <w:szCs w:val="32"/>
        </w:rPr>
        <w:t>（一）存在的问题</w:t>
      </w:r>
    </w:p>
    <w:p>
      <w:pPr>
        <w:ind w:firstLine="640" w:firstLineChars="200"/>
        <w:rPr>
          <w:rFonts w:ascii="仿宋_GB2312" w:hAnsi="宋体" w:eastAsia="仿宋_GB2312"/>
          <w:sz w:val="32"/>
          <w:szCs w:val="32"/>
        </w:rPr>
      </w:pPr>
      <w:r>
        <w:rPr>
          <w:rFonts w:hint="eastAsia" w:ascii="仿宋_GB2312" w:hAnsi="宋体" w:eastAsia="仿宋_GB2312"/>
          <w:sz w:val="32"/>
          <w:szCs w:val="32"/>
        </w:rPr>
        <w:t>1、部分资金申报单位未能及时与地方财政沟通，实际指标已下拨，而资金申报单位却不知道，导致项目未实施，形成资金结余。如靖州县乒羽馆维修项目资金</w:t>
      </w:r>
      <w:r>
        <w:rPr>
          <w:rFonts w:ascii="仿宋_GB2312" w:hAnsi="宋体" w:eastAsia="仿宋_GB2312"/>
          <w:sz w:val="32"/>
          <w:szCs w:val="32"/>
        </w:rPr>
        <w:t>2</w:t>
      </w:r>
      <w:r>
        <w:rPr>
          <w:rFonts w:hint="eastAsia" w:ascii="仿宋_GB2312" w:hAnsi="宋体" w:eastAsia="仿宋_GB2312"/>
          <w:sz w:val="32"/>
          <w:szCs w:val="32"/>
        </w:rPr>
        <w:t>0.00万元、古丈县体育馆维修项目资金</w:t>
      </w:r>
      <w:r>
        <w:rPr>
          <w:rFonts w:ascii="仿宋_GB2312" w:hAnsi="宋体" w:eastAsia="仿宋_GB2312"/>
          <w:sz w:val="32"/>
          <w:szCs w:val="32"/>
        </w:rPr>
        <w:t>20.00</w:t>
      </w:r>
      <w:r>
        <w:rPr>
          <w:rFonts w:hint="eastAsia" w:ascii="仿宋_GB2312" w:hAnsi="宋体" w:eastAsia="仿宋_GB2312"/>
          <w:sz w:val="32"/>
          <w:szCs w:val="32"/>
        </w:rPr>
        <w:t>万元、保靖县全民健身中心场馆维修项目资金</w:t>
      </w:r>
      <w:r>
        <w:rPr>
          <w:rFonts w:ascii="仿宋_GB2312" w:hAnsi="宋体" w:eastAsia="仿宋_GB2312"/>
          <w:sz w:val="32"/>
          <w:szCs w:val="32"/>
        </w:rPr>
        <w:t>20.00</w:t>
      </w:r>
      <w:r>
        <w:rPr>
          <w:rFonts w:hint="eastAsia" w:ascii="仿宋_GB2312" w:hAnsi="宋体" w:eastAsia="仿宋_GB2312"/>
          <w:sz w:val="32"/>
          <w:szCs w:val="32"/>
        </w:rPr>
        <w:t>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2、财政专项资金预算执行率需继续加强，年度内资金使用率</w:t>
      </w:r>
      <w:r>
        <w:rPr>
          <w:rFonts w:ascii="仿宋_GB2312" w:hAnsi="宋体" w:eastAsia="仿宋_GB2312"/>
          <w:sz w:val="32"/>
          <w:szCs w:val="32"/>
        </w:rPr>
        <w:t>78.65%</w:t>
      </w:r>
      <w:r>
        <w:rPr>
          <w:rFonts w:hint="eastAsia" w:ascii="仿宋_GB2312" w:hAnsi="宋体" w:eastAsia="仿宋_GB2312"/>
          <w:sz w:val="32"/>
          <w:szCs w:val="32"/>
        </w:rPr>
        <w:t>，虽然较上年度有所提高，但是部分项目资金结余较大。如运动员常年赛成绩奖金结余100万元，由于赛事存在争议使得运动员常年赛成绩奖100万未发放到位；如系统内体育场馆维修，因备战全运会而推迟年度维修计划形成的结余约50万元。</w:t>
      </w:r>
    </w:p>
    <w:p>
      <w:pPr>
        <w:ind w:firstLine="640" w:firstLineChars="200"/>
        <w:rPr>
          <w:rFonts w:ascii="仿宋_GB2312" w:hAnsi="宋体" w:eastAsia="仿宋_GB2312"/>
          <w:sz w:val="32"/>
          <w:szCs w:val="32"/>
        </w:rPr>
      </w:pPr>
      <w:r>
        <w:rPr>
          <w:rFonts w:hint="eastAsia" w:ascii="仿宋_GB2312" w:hAnsi="宋体" w:eastAsia="仿宋_GB2312"/>
          <w:sz w:val="32"/>
          <w:szCs w:val="32"/>
        </w:rPr>
        <w:t>（二）相关建议</w:t>
      </w:r>
    </w:p>
    <w:p>
      <w:pPr>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各项目申报单位应建立定期与</w:t>
      </w:r>
      <w:r>
        <w:rPr>
          <w:rFonts w:ascii="仿宋_GB2312" w:hAnsi="宋体" w:eastAsia="仿宋_GB2312"/>
          <w:sz w:val="32"/>
          <w:szCs w:val="32"/>
        </w:rPr>
        <w:t>财政、国库及代理银行之间的定期对账制度。</w:t>
      </w:r>
    </w:p>
    <w:p>
      <w:pPr>
        <w:ind w:firstLine="640" w:firstLineChars="200"/>
        <w:rPr>
          <w:rFonts w:ascii="仿宋_GB2312" w:hAnsi="宋体" w:eastAsia="仿宋_GB2312"/>
          <w:sz w:val="32"/>
          <w:szCs w:val="32"/>
        </w:rPr>
      </w:pPr>
      <w:r>
        <w:rPr>
          <w:rFonts w:hint="eastAsia" w:ascii="仿宋_GB2312" w:hAnsi="宋体" w:eastAsia="仿宋_GB2312"/>
          <w:sz w:val="32"/>
          <w:szCs w:val="32"/>
        </w:rPr>
        <w:t>2、加强各级体育主管部门对专项资金使用中的管理和监督，不断加强监督检查，特别是对市县转移资金项目，定期或不定期实地察看项目实施情况，对项目不按要求实施和资金不按规定使用的项目单位，除收回资金外，还要对相关人员给予责任追究，以确保专项资金安全完整，发挥其应有的使用效益。</w:t>
      </w:r>
    </w:p>
    <w:p>
      <w:pPr>
        <w:ind w:firstLine="640" w:firstLineChars="200"/>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三）后续工作计划</w:t>
      </w:r>
    </w:p>
    <w:p>
      <w:pPr>
        <w:ind w:firstLine="640" w:firstLineChars="200"/>
        <w:rPr>
          <w:rFonts w:ascii="仿宋_GB2312" w:hAnsi="宋体" w:eastAsia="仿宋_GB2312"/>
          <w:sz w:val="32"/>
          <w:szCs w:val="32"/>
        </w:rPr>
      </w:pPr>
      <w:r>
        <w:rPr>
          <w:rFonts w:hint="eastAsia" w:ascii="仿宋_GB2312" w:hAnsi="宋体" w:eastAsia="仿宋_GB2312"/>
          <w:sz w:val="32"/>
          <w:szCs w:val="32"/>
        </w:rPr>
        <w:t>体育发展专项资金，是由省级财政预算安排，专项用于公共体育设施维修及设备购置、体育后备人才培养、优秀运动队常年赛成绩奖励、全民健身工作开展等方面的资金。公共体育设施维修主要用于体育行政部门所属公共体育设施维修改造以及体育器材、体育设施设备更新；体育后备人才培养主要用于相关学校体育后备人才基地维修改造、设备购置、运动员培养培训等；全民健身主要用于省级体育部门开展全民健身宣传、全民健身指导员培训以及组织开展各类群众体育活动和比赛；优秀运动队常年赛成绩奖主要根据省级专业运动队上一年在全国锦标赛、冠军赛和青少年锦标赛中取得的成绩，经省体育局审核认定后，对相关运动员、教练员以及有关人员的奖励。</w:t>
      </w:r>
      <w:r>
        <w:rPr>
          <w:rFonts w:hint="eastAsia" w:ascii="仿宋_GB2312" w:hAnsi="宋体" w:eastAsia="仿宋_GB2312"/>
          <w:sz w:val="32"/>
          <w:szCs w:val="32"/>
          <w:highlight w:val="none"/>
        </w:rPr>
        <w:t>体育发展专项设置年限为</w:t>
      </w:r>
      <w:r>
        <w:rPr>
          <w:rFonts w:hint="eastAsia" w:ascii="仿宋_GB2312" w:hAnsi="宋体" w:eastAsia="仿宋_GB2312"/>
          <w:sz w:val="32"/>
          <w:szCs w:val="32"/>
          <w:highlight w:val="none"/>
          <w:lang w:eastAsia="zh-CN"/>
        </w:rPr>
        <w:t>三</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eastAsia="zh-CN"/>
        </w:rPr>
        <w:t>一周期</w:t>
      </w:r>
      <w:r>
        <w:rPr>
          <w:rFonts w:hint="eastAsia" w:ascii="仿宋_GB2312" w:hAnsi="宋体" w:eastAsia="仿宋_GB2312"/>
          <w:sz w:val="32"/>
          <w:szCs w:val="32"/>
          <w:highlight w:val="none"/>
        </w:rPr>
        <w:t>，</w:t>
      </w:r>
      <w:r>
        <w:rPr>
          <w:rFonts w:hint="eastAsia" w:ascii="仿宋_GB2312" w:hAnsi="宋体" w:eastAsia="仿宋_GB2312"/>
          <w:sz w:val="32"/>
          <w:szCs w:val="32"/>
        </w:rPr>
        <w:t>到期自动终止。确需延续的，经对专项资金重新进行绩效评估后，按新设专项资金程序报省政府批准。</w:t>
      </w:r>
    </w:p>
    <w:p>
      <w:pPr>
        <w:ind w:firstLine="640" w:firstLineChars="200"/>
        <w:rPr>
          <w:rFonts w:ascii="仿宋_GB2312" w:hAnsi="宋体" w:eastAsia="仿宋_GB2312"/>
          <w:sz w:val="32"/>
          <w:szCs w:val="32"/>
        </w:rPr>
      </w:pPr>
      <w:r>
        <w:rPr>
          <w:rFonts w:hint="eastAsia" w:ascii="仿宋_GB2312" w:hAnsi="宋体" w:eastAsia="仿宋_GB2312"/>
          <w:sz w:val="32"/>
          <w:szCs w:val="32"/>
        </w:rPr>
        <w:t>每年第三季度，湖南省体育局下发次年专项资金申报通知，并在单位门户网站公开（全民健身以及优秀运动队常年赛成绩奖无需单独申报）。依照《湖南省体育发展专项资金管理办法》（湘财教［2</w:t>
      </w:r>
      <w:r>
        <w:rPr>
          <w:rFonts w:ascii="仿宋_GB2312" w:hAnsi="宋体" w:eastAsia="仿宋_GB2312"/>
          <w:sz w:val="32"/>
          <w:szCs w:val="32"/>
        </w:rPr>
        <w:t>015</w:t>
      </w:r>
      <w:r>
        <w:rPr>
          <w:rFonts w:hint="eastAsia" w:ascii="仿宋_GB2312" w:hAnsi="宋体" w:eastAsia="仿宋_GB2312"/>
          <w:sz w:val="32"/>
          <w:szCs w:val="32"/>
        </w:rPr>
        <w:t>］5</w:t>
      </w:r>
      <w:r>
        <w:rPr>
          <w:rFonts w:ascii="仿宋_GB2312" w:hAnsi="宋体" w:eastAsia="仿宋_GB2312"/>
          <w:sz w:val="32"/>
          <w:szCs w:val="32"/>
        </w:rPr>
        <w:t>5</w:t>
      </w:r>
      <w:r>
        <w:rPr>
          <w:rFonts w:hint="eastAsia" w:ascii="仿宋_GB2312" w:hAnsi="宋体" w:eastAsia="仿宋_GB2312"/>
          <w:sz w:val="32"/>
          <w:szCs w:val="32"/>
        </w:rPr>
        <w:t>号），省直单位项目申报提出申请并填报“湖南省体育发展专项资金申报表”，随同相关申报材料直接报湖南省体育局，市县项目申报单位提出申请并填报“湖南省体育发展专项资金申报表”，随同相关申报材料报同级体育主管部门。市州体育主管部门对所辖地区申报项目进行初审后，填报“湖南省体育发展专项资金申报汇总表”，以正式文件报湖南省体育局。省体育局按程序对申报项目进行审核汇总，提出具体项目推荐审核意见方案商省财政厅。每年1</w:t>
      </w:r>
      <w:r>
        <w:rPr>
          <w:rFonts w:ascii="仿宋_GB2312" w:hAnsi="宋体" w:eastAsia="仿宋_GB2312"/>
          <w:sz w:val="32"/>
          <w:szCs w:val="32"/>
        </w:rPr>
        <w:t>2</w:t>
      </w:r>
      <w:r>
        <w:rPr>
          <w:rFonts w:hint="eastAsia" w:ascii="仿宋_GB2312" w:hAnsi="宋体" w:eastAsia="仿宋_GB2312"/>
          <w:sz w:val="32"/>
          <w:szCs w:val="32"/>
        </w:rPr>
        <w:t>月底前，省财政厅根据下年度资金规模确定下年度拟支持项目的资金预算分配方案，相应编入本级部门预算或对下转移支付预算，于下一年度本级人民代表大会批准预算后的6</w:t>
      </w:r>
      <w:r>
        <w:rPr>
          <w:rFonts w:ascii="仿宋_GB2312" w:hAnsi="宋体" w:eastAsia="仿宋_GB2312"/>
          <w:sz w:val="32"/>
          <w:szCs w:val="32"/>
        </w:rPr>
        <w:t>0</w:t>
      </w:r>
      <w:r>
        <w:rPr>
          <w:rFonts w:hint="eastAsia" w:ascii="仿宋_GB2312" w:hAnsi="宋体" w:eastAsia="仿宋_GB2312"/>
          <w:sz w:val="32"/>
          <w:szCs w:val="32"/>
        </w:rPr>
        <w:t>日内下达资金。资金安排情况在省体育局门户网站公示不少于５个工作日。</w:t>
      </w:r>
    </w:p>
    <w:p>
      <w:pPr>
        <w:ind w:firstLine="640" w:firstLineChars="200"/>
        <w:rPr>
          <w:rFonts w:ascii="仿宋_GB2312" w:hAnsi="宋体" w:eastAsia="仿宋_GB2312"/>
          <w:sz w:val="32"/>
          <w:szCs w:val="32"/>
        </w:rPr>
      </w:pPr>
      <w:r>
        <w:rPr>
          <w:rFonts w:hint="eastAsia" w:ascii="仿宋_GB2312" w:hAnsi="宋体" w:eastAsia="仿宋_GB2312"/>
          <w:sz w:val="32"/>
          <w:szCs w:val="32"/>
        </w:rPr>
        <w:t>湖南省体育局201</w:t>
      </w:r>
      <w:r>
        <w:rPr>
          <w:rFonts w:ascii="仿宋_GB2312" w:hAnsi="宋体" w:eastAsia="仿宋_GB2312"/>
          <w:sz w:val="32"/>
          <w:szCs w:val="32"/>
        </w:rPr>
        <w:t>8</w:t>
      </w:r>
      <w:r>
        <w:rPr>
          <w:rFonts w:hint="eastAsia" w:ascii="仿宋_GB2312" w:hAnsi="宋体" w:eastAsia="仿宋_GB2312"/>
          <w:sz w:val="32"/>
          <w:szCs w:val="32"/>
        </w:rPr>
        <w:t>年</w:t>
      </w:r>
      <w:r>
        <w:rPr>
          <w:rFonts w:hint="eastAsia" w:ascii="仿宋_GB2312" w:hAnsi="宋体" w:eastAsia="仿宋_GB2312"/>
          <w:sz w:val="32"/>
          <w:szCs w:val="32"/>
          <w:lang w:eastAsia="zh-CN"/>
        </w:rPr>
        <w:t>已</w:t>
      </w:r>
      <w:r>
        <w:rPr>
          <w:rFonts w:hint="eastAsia" w:ascii="仿宋_GB2312" w:hAnsi="宋体" w:eastAsia="仿宋_GB2312"/>
          <w:sz w:val="32"/>
          <w:szCs w:val="32"/>
        </w:rPr>
        <w:t>对我省4类共4</w:t>
      </w:r>
      <w:r>
        <w:rPr>
          <w:rFonts w:ascii="仿宋_GB2312" w:hAnsi="宋体" w:eastAsia="仿宋_GB2312"/>
          <w:sz w:val="32"/>
          <w:szCs w:val="32"/>
        </w:rPr>
        <w:t>5</w:t>
      </w:r>
      <w:r>
        <w:rPr>
          <w:rFonts w:hint="eastAsia" w:ascii="仿宋_GB2312" w:hAnsi="宋体" w:eastAsia="仿宋_GB2312"/>
          <w:sz w:val="32"/>
          <w:szCs w:val="32"/>
        </w:rPr>
        <w:t>个项目进行支持，包括体育后备人才培养类13个，成绩奖励类11个，体育活动类4个，体育设施了17个，明细如下表：</w:t>
      </w:r>
    </w:p>
    <w:tbl>
      <w:tblPr>
        <w:tblStyle w:val="15"/>
        <w:tblW w:w="8946" w:type="dxa"/>
        <w:tblInd w:w="0" w:type="dxa"/>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998"/>
        <w:gridCol w:w="4073"/>
        <w:gridCol w:w="3875"/>
      </w:tblGrid>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blHeader/>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序号</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拟支持项目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项目单位</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体育后备人才培养类</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皮划艇、赛艇基地，摔、柔、跆基地，体操基地，蹦床基地，羽毛球基地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长沙市体育局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皮划艇、赛艇基地，射击基地，摔跤、柔、跆基地，体操、蹦床基地，田径基地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株洲市文体局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网球基地，游泳、跳水基地，羽毛球基地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湘潭市文体局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射击基地，体操基地，游泳、跳水基地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衡阳市文体局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游泳基地、羽毛球基地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邵阳市文体局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皮划艇、赛艇基地，射击基地，游泳基地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岳阳市文体局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射击基地，摔跤、柔道基地，游泳基地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长沙市文体局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摔跤、柔道基地，羽毛球基地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益阳市文体局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举重基地，游泳基地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永州市文体局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举重基地，资兴皮划艇、赛艇基地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郴州市文体局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射击基地，柔道基地，田径基地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娄底市文体局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游泳基地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怀化市文体局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举重基地，摔跤基地</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湘西自治州文体局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二</w:t>
            </w:r>
          </w:p>
        </w:tc>
        <w:tc>
          <w:tcPr>
            <w:tcW w:w="4073" w:type="dxa"/>
            <w:shd w:val="clear" w:color="auto" w:fill="auto"/>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成绩奖励类</w:t>
            </w:r>
          </w:p>
        </w:tc>
        <w:tc>
          <w:tcPr>
            <w:tcW w:w="3875" w:type="dxa"/>
            <w:shd w:val="clear" w:color="auto" w:fill="auto"/>
            <w:vAlign w:val="center"/>
          </w:tcPr>
          <w:p>
            <w:pPr>
              <w:widowControl/>
              <w:jc w:val="left"/>
              <w:rPr>
                <w:rFonts w:ascii="仿宋_GB2312" w:hAnsi="宋体" w:eastAsia="仿宋_GB2312" w:cs="宋体"/>
                <w:color w:val="000000"/>
                <w:kern w:val="0"/>
                <w:sz w:val="22"/>
                <w:szCs w:val="22"/>
              </w:rPr>
            </w:pP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运动员常年赛成绩奖金</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省羽乒中心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运动员常年赛成绩奖金</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省田径中心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运动员常年赛成绩奖金</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省网球中心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运动员常年赛成绩奖金</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省体操中心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运动员常年赛成绩奖金</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省举重中心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运动员常年赛成绩奖金</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省摔柔跆中心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运动员常年赛成绩奖金</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省游泳中心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运动员常年赛成绩奖金</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省体模和摩托艇中心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运动员常年赛成绩奖金</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省航管中心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运动员常年赛成绩奖金</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省射击中心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运动员常年赛成绩奖金</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省水上中心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体育活动类</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w:t>
            </w:r>
            <w:r>
              <w:rPr>
                <w:rFonts w:ascii="仿宋_GB2312" w:hAnsi="宋体" w:eastAsia="仿宋_GB2312" w:cs="宋体"/>
                <w:color w:val="000000"/>
                <w:kern w:val="0"/>
                <w:sz w:val="22"/>
                <w:szCs w:val="22"/>
              </w:rPr>
              <w:t>8</w:t>
            </w:r>
            <w:r>
              <w:rPr>
                <w:rFonts w:hint="eastAsia" w:ascii="仿宋_GB2312" w:hAnsi="宋体" w:eastAsia="仿宋_GB2312" w:cs="宋体"/>
                <w:color w:val="000000"/>
                <w:kern w:val="0"/>
                <w:sz w:val="22"/>
                <w:szCs w:val="22"/>
              </w:rPr>
              <w:t>省直属机关健身长跑赛</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长沙市体育局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w:t>
            </w:r>
            <w:r>
              <w:rPr>
                <w:rFonts w:ascii="仿宋_GB2312" w:hAnsi="宋体" w:eastAsia="仿宋_GB2312" w:cs="宋体"/>
                <w:color w:val="000000"/>
                <w:kern w:val="0"/>
                <w:sz w:val="22"/>
                <w:szCs w:val="22"/>
              </w:rPr>
              <w:t>8</w:t>
            </w:r>
            <w:r>
              <w:rPr>
                <w:rFonts w:hint="eastAsia" w:ascii="仿宋_GB2312" w:hAnsi="宋体" w:eastAsia="仿宋_GB2312" w:cs="宋体"/>
                <w:color w:val="000000"/>
                <w:kern w:val="0"/>
                <w:sz w:val="22"/>
                <w:szCs w:val="22"/>
              </w:rPr>
              <w:t>全省体育系统气排球赛</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邵阳市全民中心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“不忘初心，牢记使命”陶铸故里红军行穿越活动</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祁阳县全民中心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201</w:t>
            </w:r>
            <w:r>
              <w:rPr>
                <w:rFonts w:ascii="仿宋_GB2312" w:hAnsi="宋体" w:eastAsia="仿宋_GB2312" w:cs="宋体"/>
                <w:color w:val="000000"/>
                <w:kern w:val="0"/>
                <w:sz w:val="22"/>
                <w:szCs w:val="22"/>
              </w:rPr>
              <w:t>8</w:t>
            </w:r>
            <w:r>
              <w:rPr>
                <w:rFonts w:hint="eastAsia" w:ascii="仿宋_GB2312" w:hAnsi="宋体" w:eastAsia="仿宋_GB2312" w:cs="宋体"/>
                <w:color w:val="000000"/>
                <w:kern w:val="0"/>
                <w:sz w:val="22"/>
                <w:szCs w:val="22"/>
              </w:rPr>
              <w:t>全省陀螺教练员、裁判员培训，全省蹴球教练员、裁判员培训</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龙山县教体局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体育设施类</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改善运动员设施</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省体育局机关</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体校田径场维修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省体育职院</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田径棚改造</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省田径中心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场馆维修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贺龙体育馆</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水上运动场地维修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资兴市文体广新局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场馆维修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岳阳市游泳学校</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健身中心维修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临澧县全民健身中心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乒乓球训练馆维修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桃源县文体广新局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全民健身中心维修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永州市全民健身中心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全民健身中心维修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江永县全民健身中心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全民健身中心维修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宁远县全民健身中心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12</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训练场地维修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新宁县文体广新局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13</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训练场地维修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新化县文体广新局</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14</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全民健身中心维修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冷水江市全民健身中心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15</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全民健身中心维修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赫山区全民健身中心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16</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全民健身中心维修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怀化市市全民健身中心</w:t>
            </w:r>
          </w:p>
        </w:tc>
      </w:tr>
      <w:tr>
        <w:tblPrEx>
          <w:tblBorders>
            <w:top w:val="single" w:color="auto" w:sz="12" w:space="0"/>
            <w:left w:val="none" w:color="auto" w:sz="0" w:space="0"/>
            <w:bottom w:val="single" w:color="auto" w:sz="12"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0" w:hRule="atLeast"/>
        </w:trPr>
        <w:tc>
          <w:tcPr>
            <w:tcW w:w="998"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17</w:t>
            </w:r>
          </w:p>
        </w:tc>
        <w:tc>
          <w:tcPr>
            <w:tcW w:w="4073"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场馆维修</w:t>
            </w:r>
          </w:p>
        </w:tc>
        <w:tc>
          <w:tcPr>
            <w:tcW w:w="3875" w:type="dxa"/>
            <w:shd w:val="clear" w:color="auto" w:fill="auto"/>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淑蒲县文体广新局</w:t>
            </w:r>
          </w:p>
        </w:tc>
      </w:tr>
    </w:tbl>
    <w:p>
      <w:pPr>
        <w:ind w:firstLine="640" w:firstLineChars="200"/>
        <w:rPr>
          <w:rFonts w:ascii="仿宋_GB2312" w:hAnsi="宋体" w:eastAsia="仿宋_GB2312"/>
          <w:sz w:val="32"/>
          <w:szCs w:val="32"/>
        </w:rPr>
      </w:pPr>
      <w:r>
        <w:rPr>
          <w:rFonts w:hint="eastAsia" w:ascii="仿宋_GB2312" w:hAnsi="宋体" w:eastAsia="仿宋_GB2312"/>
          <w:sz w:val="32"/>
          <w:szCs w:val="32"/>
        </w:rPr>
        <w:t>2019年拟继续对我省体育后备人才培养类、成绩奖励类、体育活动类、体育设施维修类等项目进行支持，拟支持额度计划为1</w:t>
      </w:r>
      <w:r>
        <w:rPr>
          <w:rFonts w:ascii="仿宋_GB2312" w:hAnsi="宋体" w:eastAsia="仿宋_GB2312"/>
          <w:sz w:val="32"/>
          <w:szCs w:val="32"/>
        </w:rPr>
        <w:t>,721万元</w:t>
      </w:r>
      <w:r>
        <w:rPr>
          <w:rFonts w:hint="eastAsia" w:ascii="仿宋_GB2312" w:hAnsi="宋体" w:eastAsia="仿宋_GB2312"/>
          <w:sz w:val="32"/>
          <w:szCs w:val="32"/>
        </w:rPr>
        <w:t>。</w:t>
      </w: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ascii="仿宋_GB2312" w:hAnsi="宋体" w:eastAsia="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eastAsia="zh-CN"/>
        </w:rPr>
        <w:t>件</w:t>
      </w:r>
      <w:r>
        <w:rPr>
          <w:rFonts w:hint="eastAsia" w:ascii="仿宋_GB2312" w:hAnsi="仿宋_GB2312" w:eastAsia="仿宋_GB2312" w:cs="仿宋_GB2312"/>
          <w:sz w:val="32"/>
          <w:szCs w:val="32"/>
        </w:rPr>
        <w:t>：1．2017年湖南省体育发展专项绩效评价指标体系表</w:t>
      </w:r>
    </w:p>
    <w:p>
      <w:pPr>
        <w:ind w:left="0" w:leftChars="0" w:firstLine="1497" w:firstLineChars="468"/>
        <w:rPr>
          <w:rFonts w:hint="eastAsia" w:ascii="仿宋_GB2312" w:hAnsi="仿宋_GB2312" w:eastAsia="仿宋_GB2312" w:cs="仿宋_GB2312"/>
          <w:spacing w:val="-10"/>
          <w:sz w:val="32"/>
          <w:szCs w:val="32"/>
        </w:rPr>
      </w:pPr>
      <w:r>
        <w:rPr>
          <w:rFonts w:hint="eastAsia" w:ascii="仿宋_GB2312" w:hAnsi="仿宋_GB2312" w:eastAsia="仿宋_GB2312" w:cs="仿宋_GB2312"/>
          <w:sz w:val="32"/>
          <w:szCs w:val="32"/>
        </w:rPr>
        <w:t>2．2017</w:t>
      </w:r>
      <w:r>
        <w:rPr>
          <w:rFonts w:hint="eastAsia" w:ascii="仿宋_GB2312" w:hAnsi="仿宋_GB2312" w:eastAsia="仿宋_GB2312" w:cs="仿宋_GB2312"/>
          <w:spacing w:val="-10"/>
          <w:sz w:val="32"/>
          <w:szCs w:val="32"/>
        </w:rPr>
        <w:t>年体育发展专项项目省级财政资金基础数据表</w:t>
      </w:r>
    </w:p>
    <w:p>
      <w:pPr>
        <w:ind w:left="0" w:leftChars="0" w:firstLine="1404" w:firstLineChars="468"/>
        <w:rPr>
          <w:rFonts w:hint="eastAsia" w:ascii="仿宋_GB2312" w:hAnsi="仿宋_GB2312" w:eastAsia="仿宋_GB2312" w:cs="仿宋_GB2312"/>
          <w:spacing w:val="-10"/>
          <w:sz w:val="32"/>
          <w:szCs w:val="32"/>
        </w:rPr>
      </w:pPr>
    </w:p>
    <w:p>
      <w:pPr>
        <w:ind w:left="0" w:leftChars="0" w:firstLine="1404" w:firstLineChars="468"/>
        <w:rPr>
          <w:rFonts w:hint="eastAsia" w:ascii="仿宋_GB2312" w:hAnsi="仿宋_GB2312" w:eastAsia="仿宋_GB2312" w:cs="仿宋_GB2312"/>
          <w:spacing w:val="-10"/>
          <w:sz w:val="32"/>
          <w:szCs w:val="32"/>
        </w:rPr>
      </w:pPr>
    </w:p>
    <w:p>
      <w:pPr>
        <w:ind w:left="0" w:leftChars="0" w:firstLine="1404" w:firstLineChars="468"/>
        <w:rPr>
          <w:rFonts w:hint="eastAsia" w:ascii="仿宋_GB2312" w:hAnsi="仿宋_GB2312" w:eastAsia="仿宋_GB2312" w:cs="仿宋_GB2312"/>
          <w:spacing w:val="-10"/>
          <w:sz w:val="32"/>
          <w:szCs w:val="32"/>
        </w:rPr>
      </w:pPr>
    </w:p>
    <w:p>
      <w:pPr>
        <w:ind w:left="0" w:leftChars="0" w:firstLine="1404" w:firstLineChars="468"/>
        <w:rPr>
          <w:rFonts w:hint="eastAsia" w:ascii="仿宋_GB2312" w:hAnsi="仿宋_GB2312" w:eastAsia="仿宋_GB2312" w:cs="仿宋_GB2312"/>
          <w:spacing w:val="-10"/>
          <w:sz w:val="32"/>
          <w:szCs w:val="32"/>
        </w:rPr>
      </w:pPr>
    </w:p>
    <w:p>
      <w:pPr>
        <w:ind w:left="0" w:leftChars="0" w:firstLine="1404" w:firstLineChars="468"/>
        <w:rPr>
          <w:rFonts w:hint="eastAsia" w:ascii="仿宋_GB2312" w:hAnsi="仿宋_GB2312" w:eastAsia="仿宋_GB2312" w:cs="仿宋_GB2312"/>
          <w:spacing w:val="-10"/>
          <w:sz w:val="32"/>
          <w:szCs w:val="32"/>
        </w:rPr>
      </w:pPr>
    </w:p>
    <w:p>
      <w:pPr>
        <w:tabs>
          <w:tab w:val="center" w:pos="4365"/>
          <w:tab w:val="right" w:pos="8850"/>
        </w:tabs>
        <w:ind w:left="0" w:leftChars="0" w:firstLine="1404" w:firstLineChars="468"/>
        <w:jc w:val="left"/>
        <w:rPr>
          <w:rFonts w:hint="eastAsia" w:ascii="仿宋_GB2312" w:hAnsi="仿宋_GB2312" w:eastAsia="仿宋_GB2312" w:cs="仿宋_GB2312"/>
          <w:spacing w:val="-10"/>
          <w:sz w:val="32"/>
          <w:szCs w:val="32"/>
          <w:lang w:eastAsia="zh-CN"/>
        </w:rPr>
      </w:pPr>
      <w:r>
        <w:rPr>
          <w:rFonts w:hint="eastAsia" w:ascii="仿宋_GB2312" w:hAnsi="仿宋_GB2312" w:eastAsia="仿宋_GB2312" w:cs="仿宋_GB2312"/>
          <w:spacing w:val="-10"/>
          <w:sz w:val="32"/>
          <w:szCs w:val="32"/>
          <w:lang w:eastAsia="zh-CN"/>
        </w:rPr>
        <w:tab/>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lang w:eastAsia="zh-CN"/>
        </w:rPr>
        <w:t>湖南省体育局</w:t>
      </w:r>
    </w:p>
    <w:p>
      <w:pPr>
        <w:tabs>
          <w:tab w:val="center" w:pos="4365"/>
          <w:tab w:val="right" w:pos="8850"/>
        </w:tabs>
        <w:ind w:left="0" w:leftChars="0" w:firstLine="5301" w:firstLineChars="1767"/>
        <w:jc w:val="both"/>
        <w:rPr>
          <w:rFonts w:hint="eastAsia" w:ascii="仿宋_GB2312" w:hAnsi="仿宋_GB2312" w:eastAsia="仿宋_GB2312" w:cs="仿宋_GB2312"/>
          <w:spacing w:val="-10"/>
          <w:sz w:val="32"/>
          <w:szCs w:val="32"/>
          <w:lang w:eastAsia="zh-CN"/>
        </w:rPr>
      </w:pPr>
      <w:bookmarkStart w:id="0" w:name="_GoBack"/>
      <w:bookmarkEnd w:id="0"/>
      <w:r>
        <w:rPr>
          <w:rFonts w:hint="eastAsia" w:ascii="仿宋_GB2312" w:hAnsi="仿宋_GB2312" w:eastAsia="仿宋_GB2312" w:cs="仿宋_GB2312"/>
          <w:spacing w:val="-10"/>
          <w:sz w:val="32"/>
          <w:szCs w:val="32"/>
          <w:lang w:val="en-US" w:eastAsia="zh-CN"/>
        </w:rPr>
        <w:t>2018年4月28日</w:t>
      </w:r>
      <w:r>
        <w:rPr>
          <w:rFonts w:hint="eastAsia" w:ascii="仿宋_GB2312" w:hAnsi="仿宋_GB2312" w:eastAsia="仿宋_GB2312" w:cs="仿宋_GB2312"/>
          <w:spacing w:val="-10"/>
          <w:sz w:val="32"/>
          <w:szCs w:val="32"/>
          <w:lang w:eastAsia="zh-CN"/>
        </w:rPr>
        <w:tab/>
      </w:r>
    </w:p>
    <w:p>
      <w:pPr>
        <w:tabs>
          <w:tab w:val="left" w:pos="7560"/>
        </w:tabs>
        <w:rPr>
          <w:rFonts w:hint="eastAsia" w:ascii="仿宋_GB2312" w:hAnsi="仿宋_GB2312" w:eastAsia="仿宋_GB2312" w:cs="仿宋_GB2312"/>
          <w:sz w:val="32"/>
          <w:szCs w:val="32"/>
        </w:rPr>
        <w:sectPr>
          <w:footerReference r:id="rId3" w:type="default"/>
          <w:pgSz w:w="11906" w:h="16838"/>
          <w:pgMar w:top="2041" w:right="1588" w:bottom="1474" w:left="1588" w:header="851" w:footer="1134" w:gutter="0"/>
          <w:pgNumType w:fmt="numberInDash"/>
          <w:cols w:space="0" w:num="1"/>
          <w:docGrid w:type="lines" w:linePitch="286" w:charSpace="795"/>
        </w:sectPr>
      </w:pPr>
    </w:p>
    <w:p>
      <w:pPr>
        <w:tabs>
          <w:tab w:val="left" w:pos="7560"/>
        </w:tabs>
        <w:rPr>
          <w:rFonts w:ascii="黑体" w:eastAsia="黑体"/>
          <w:sz w:val="32"/>
          <w:szCs w:val="32"/>
        </w:rPr>
      </w:pPr>
      <w:r>
        <w:rPr>
          <w:rFonts w:hint="eastAsia" w:ascii="黑体" w:eastAsia="黑体"/>
          <w:sz w:val="32"/>
          <w:szCs w:val="32"/>
        </w:rPr>
        <w:t>附件</w:t>
      </w:r>
      <w:r>
        <w:rPr>
          <w:rFonts w:ascii="黑体" w:eastAsia="黑体"/>
          <w:sz w:val="32"/>
          <w:szCs w:val="32"/>
        </w:rPr>
        <w:t>1</w:t>
      </w:r>
    </w:p>
    <w:p>
      <w:pPr>
        <w:tabs>
          <w:tab w:val="left" w:pos="7560"/>
        </w:tabs>
        <w:spacing w:line="700" w:lineRule="exact"/>
        <w:jc w:val="center"/>
        <w:rPr>
          <w:rFonts w:ascii="方正小标宋简体" w:hAnsi="??" w:eastAsia="方正小标宋简体"/>
          <w:sz w:val="44"/>
          <w:szCs w:val="44"/>
        </w:rPr>
      </w:pPr>
      <w:r>
        <w:rPr>
          <w:rFonts w:hint="eastAsia" w:ascii="方正小标宋简体" w:hAnsi="??" w:eastAsia="方正小标宋简体"/>
          <w:sz w:val="44"/>
          <w:szCs w:val="44"/>
        </w:rPr>
        <w:t>体育发展专项绩效评价指标体系</w:t>
      </w:r>
    </w:p>
    <w:tbl>
      <w:tblPr>
        <w:tblStyle w:val="15"/>
        <w:tblW w:w="14916" w:type="dxa"/>
        <w:jc w:val="center"/>
        <w:tblInd w:w="0" w:type="dxa"/>
        <w:tblLayout w:type="fixed"/>
        <w:tblCellMar>
          <w:top w:w="0" w:type="dxa"/>
          <w:left w:w="108" w:type="dxa"/>
          <w:bottom w:w="0" w:type="dxa"/>
          <w:right w:w="108" w:type="dxa"/>
        </w:tblCellMar>
      </w:tblPr>
      <w:tblGrid>
        <w:gridCol w:w="704"/>
        <w:gridCol w:w="456"/>
        <w:gridCol w:w="767"/>
        <w:gridCol w:w="456"/>
        <w:gridCol w:w="804"/>
        <w:gridCol w:w="525"/>
        <w:gridCol w:w="2766"/>
        <w:gridCol w:w="4104"/>
        <w:gridCol w:w="3754"/>
        <w:gridCol w:w="580"/>
      </w:tblGrid>
      <w:tr>
        <w:tblPrEx>
          <w:tblLayout w:type="fixed"/>
          <w:tblCellMar>
            <w:top w:w="0" w:type="dxa"/>
            <w:left w:w="108" w:type="dxa"/>
            <w:bottom w:w="0" w:type="dxa"/>
            <w:right w:w="108" w:type="dxa"/>
          </w:tblCellMar>
        </w:tblPrEx>
        <w:trPr>
          <w:trHeight w:val="480" w:hRule="atLeast"/>
          <w:tblHeader/>
          <w:jc w:val="center"/>
        </w:trPr>
        <w:tc>
          <w:tcPr>
            <w:tcW w:w="70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一级</w:t>
            </w:r>
          </w:p>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指标</w:t>
            </w:r>
          </w:p>
        </w:tc>
        <w:tc>
          <w:tcPr>
            <w:tcW w:w="456"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分</w:t>
            </w:r>
          </w:p>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值</w:t>
            </w:r>
          </w:p>
        </w:tc>
        <w:tc>
          <w:tcPr>
            <w:tcW w:w="767"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二级</w:t>
            </w:r>
          </w:p>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指标</w:t>
            </w:r>
          </w:p>
        </w:tc>
        <w:tc>
          <w:tcPr>
            <w:tcW w:w="456"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分</w:t>
            </w:r>
          </w:p>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值</w:t>
            </w:r>
          </w:p>
        </w:tc>
        <w:tc>
          <w:tcPr>
            <w:tcW w:w="80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三级</w:t>
            </w:r>
          </w:p>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指标</w:t>
            </w:r>
          </w:p>
        </w:tc>
        <w:tc>
          <w:tcPr>
            <w:tcW w:w="525"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分值</w:t>
            </w:r>
          </w:p>
        </w:tc>
        <w:tc>
          <w:tcPr>
            <w:tcW w:w="2766"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指标解释</w:t>
            </w:r>
          </w:p>
        </w:tc>
        <w:tc>
          <w:tcPr>
            <w:tcW w:w="410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指标说明</w:t>
            </w:r>
          </w:p>
        </w:tc>
        <w:tc>
          <w:tcPr>
            <w:tcW w:w="375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bCs/>
                <w:kern w:val="0"/>
                <w:sz w:val="24"/>
              </w:rPr>
            </w:pPr>
            <w:r>
              <w:rPr>
                <w:rFonts w:hint="eastAsia" w:ascii="仿宋_GB2312" w:hAnsi="??" w:eastAsia="仿宋_GB2312" w:cs="宋体"/>
                <w:bCs/>
                <w:kern w:val="0"/>
                <w:sz w:val="24"/>
              </w:rPr>
              <w:t>评价标准</w:t>
            </w:r>
          </w:p>
        </w:tc>
        <w:tc>
          <w:tcPr>
            <w:tcW w:w="580"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bCs/>
                <w:kern w:val="0"/>
                <w:sz w:val="20"/>
              </w:rPr>
            </w:pPr>
            <w:r>
              <w:rPr>
                <w:rFonts w:hint="eastAsia" w:ascii="仿宋_GB2312" w:hAnsi="宋体" w:eastAsia="仿宋_GB2312" w:cs="宋体"/>
                <w:bCs/>
                <w:kern w:val="0"/>
                <w:sz w:val="20"/>
              </w:rPr>
              <w:t>得分</w:t>
            </w:r>
          </w:p>
        </w:tc>
      </w:tr>
      <w:tr>
        <w:tblPrEx>
          <w:tblLayout w:type="fixed"/>
          <w:tblCellMar>
            <w:top w:w="0" w:type="dxa"/>
            <w:left w:w="108" w:type="dxa"/>
            <w:bottom w:w="0" w:type="dxa"/>
            <w:right w:w="108" w:type="dxa"/>
          </w:tblCellMar>
        </w:tblPrEx>
        <w:trPr>
          <w:trHeight w:val="285" w:hRule="atLeast"/>
          <w:jc w:val="center"/>
        </w:trPr>
        <w:tc>
          <w:tcPr>
            <w:tcW w:w="7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投</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入</w:t>
            </w:r>
          </w:p>
        </w:tc>
        <w:tc>
          <w:tcPr>
            <w:tcW w:w="45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20</w:t>
            </w:r>
          </w:p>
        </w:tc>
        <w:tc>
          <w:tcPr>
            <w:tcW w:w="767"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项目</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立项</w:t>
            </w:r>
          </w:p>
        </w:tc>
        <w:tc>
          <w:tcPr>
            <w:tcW w:w="45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12</w:t>
            </w:r>
          </w:p>
        </w:tc>
        <w:tc>
          <w:tcPr>
            <w:tcW w:w="8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项目</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立项</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规范性</w:t>
            </w:r>
          </w:p>
        </w:tc>
        <w:tc>
          <w:tcPr>
            <w:tcW w:w="525"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4</w:t>
            </w:r>
          </w:p>
        </w:tc>
        <w:tc>
          <w:tcPr>
            <w:tcW w:w="2766" w:type="dxa"/>
            <w:vMerge w:val="restart"/>
            <w:tcBorders>
              <w:top w:val="nil"/>
              <w:left w:val="single" w:color="auto" w:sz="4" w:space="0"/>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项目的申请、设立过程是否符合相关要求，用以反映和考核项目立项的规范情况。</w:t>
            </w:r>
          </w:p>
        </w:tc>
        <w:tc>
          <w:tcPr>
            <w:tcW w:w="4104" w:type="dxa"/>
            <w:tcBorders>
              <w:top w:val="nil"/>
              <w:left w:val="nil"/>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评价要点：</w:t>
            </w:r>
          </w:p>
        </w:tc>
        <w:tc>
          <w:tcPr>
            <w:tcW w:w="375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ascii="仿宋_GB2312" w:hAnsi="??" w:eastAsia="仿宋_GB2312" w:cs="宋体"/>
                <w:kern w:val="0"/>
                <w:sz w:val="24"/>
              </w:rPr>
            </w:pPr>
            <w:r>
              <w:rPr>
                <w:rFonts w:hint="eastAsia" w:ascii="仿宋_GB2312" w:hAnsi="??" w:eastAsia="仿宋_GB2312" w:cs="宋体"/>
                <w:kern w:val="0"/>
                <w:sz w:val="24"/>
              </w:rPr>
              <w:t>项目单位根据《湖南省体育发展</w:t>
            </w:r>
            <w:r>
              <w:rPr>
                <w:rFonts w:ascii="仿宋_GB2312" w:hAnsi="??" w:eastAsia="仿宋_GB2312" w:cs="宋体"/>
                <w:kern w:val="0"/>
                <w:sz w:val="24"/>
              </w:rPr>
              <w:t>专项资金</w:t>
            </w:r>
            <w:r>
              <w:rPr>
                <w:rFonts w:hint="eastAsia" w:ascii="仿宋_GB2312" w:hAnsi="??" w:eastAsia="仿宋_GB2312" w:cs="宋体"/>
                <w:kern w:val="0"/>
                <w:sz w:val="24"/>
              </w:rPr>
              <w:t>管理办法》（湘财</w:t>
            </w:r>
            <w:r>
              <w:rPr>
                <w:rFonts w:ascii="仿宋_GB2312" w:hAnsi="??" w:eastAsia="仿宋_GB2312" w:cs="宋体"/>
                <w:kern w:val="0"/>
                <w:sz w:val="24"/>
              </w:rPr>
              <w:t>教</w:t>
            </w:r>
            <w:r>
              <w:rPr>
                <w:rFonts w:hint="eastAsia" w:ascii="仿宋_GB2312" w:hAnsi="??" w:eastAsia="仿宋_GB2312" w:cs="宋体"/>
                <w:kern w:val="0"/>
                <w:sz w:val="24"/>
              </w:rPr>
              <w:t>【2015】</w:t>
            </w:r>
            <w:r>
              <w:rPr>
                <w:rFonts w:ascii="仿宋_GB2312" w:hAnsi="??" w:eastAsia="仿宋_GB2312" w:cs="宋体"/>
                <w:kern w:val="0"/>
                <w:sz w:val="24"/>
              </w:rPr>
              <w:t>55</w:t>
            </w:r>
            <w:r>
              <w:rPr>
                <w:rFonts w:hint="eastAsia" w:ascii="仿宋_GB2312" w:hAnsi="??" w:eastAsia="仿宋_GB2312" w:cs="宋体"/>
                <w:kern w:val="0"/>
                <w:sz w:val="24"/>
              </w:rPr>
              <w:t>号）要求，制订所申报项目的实施方案或可行性方案的，得</w:t>
            </w:r>
            <w:r>
              <w:rPr>
                <w:rFonts w:ascii="仿宋_GB2312" w:hAnsi="??" w:eastAsia="仿宋_GB2312" w:cs="宋体"/>
                <w:kern w:val="0"/>
                <w:sz w:val="24"/>
              </w:rPr>
              <w:t>4</w:t>
            </w:r>
            <w:r>
              <w:rPr>
                <w:rFonts w:hint="eastAsia" w:ascii="仿宋_GB2312" w:hAnsi="??" w:eastAsia="仿宋_GB2312" w:cs="宋体"/>
                <w:kern w:val="0"/>
                <w:sz w:val="24"/>
              </w:rPr>
              <w:t>分；单位管理层研究过申报项目实施方案或可行性方案并有相关会议记录的，得2分；既无实施方案、可行性方案也无相关会议记录的，不得分。</w:t>
            </w:r>
          </w:p>
        </w:tc>
        <w:tc>
          <w:tcPr>
            <w:tcW w:w="58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4</w:t>
            </w: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104" w:type="dxa"/>
            <w:tcBorders>
              <w:top w:val="nil"/>
              <w:left w:val="nil"/>
              <w:bottom w:val="single" w:color="auto" w:sz="4" w:space="0"/>
              <w:right w:val="single" w:color="auto" w:sz="4" w:space="0"/>
            </w:tcBorders>
            <w:vAlign w:val="center"/>
          </w:tcPr>
          <w:p>
            <w:pPr>
              <w:widowControl/>
              <w:spacing w:line="360" w:lineRule="exact"/>
              <w:rPr>
                <w:rFonts w:ascii="仿宋_GB2312" w:hAnsi="??" w:eastAsia="仿宋_GB2312" w:cs="宋体"/>
                <w:kern w:val="0"/>
                <w:sz w:val="24"/>
              </w:rPr>
            </w:pPr>
            <w:r>
              <w:rPr>
                <w:rFonts w:hint="eastAsia" w:ascii="仿宋_GB2312" w:hAnsi="??" w:eastAsia="仿宋_GB2312" w:cs="宋体"/>
                <w:kern w:val="0"/>
                <w:sz w:val="24"/>
              </w:rPr>
              <w:t>①项目是否按照规定的程序申请设立；</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104" w:type="dxa"/>
            <w:tcBorders>
              <w:top w:val="nil"/>
              <w:left w:val="nil"/>
              <w:bottom w:val="single" w:color="auto" w:sz="4" w:space="0"/>
              <w:right w:val="single" w:color="auto" w:sz="4" w:space="0"/>
            </w:tcBorders>
            <w:vAlign w:val="center"/>
          </w:tcPr>
          <w:p>
            <w:pPr>
              <w:widowControl/>
              <w:spacing w:line="360" w:lineRule="exact"/>
              <w:rPr>
                <w:rFonts w:ascii="仿宋_GB2312" w:hAnsi="??" w:eastAsia="仿宋_GB2312" w:cs="宋体"/>
                <w:kern w:val="0"/>
                <w:sz w:val="24"/>
              </w:rPr>
            </w:pPr>
            <w:r>
              <w:rPr>
                <w:rFonts w:hint="eastAsia" w:ascii="仿宋_GB2312" w:hAnsi="??" w:eastAsia="仿宋_GB2312" w:cs="宋体"/>
                <w:kern w:val="0"/>
                <w:sz w:val="24"/>
              </w:rPr>
              <w:t>②所提交的文件、材料是否符合相关要求；</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48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104" w:type="dxa"/>
            <w:tcBorders>
              <w:top w:val="nil"/>
              <w:left w:val="nil"/>
              <w:bottom w:val="single" w:color="auto" w:sz="4" w:space="0"/>
              <w:right w:val="single" w:color="auto" w:sz="4" w:space="0"/>
            </w:tcBorders>
            <w:vAlign w:val="center"/>
          </w:tcPr>
          <w:p>
            <w:pPr>
              <w:widowControl/>
              <w:spacing w:line="360" w:lineRule="exact"/>
              <w:rPr>
                <w:rFonts w:ascii="仿宋_GB2312" w:hAnsi="??" w:eastAsia="仿宋_GB2312" w:cs="宋体"/>
                <w:kern w:val="0"/>
                <w:sz w:val="24"/>
              </w:rPr>
            </w:pPr>
            <w:r>
              <w:rPr>
                <w:rFonts w:hint="eastAsia" w:ascii="仿宋_GB2312" w:hAnsi="??" w:eastAsia="仿宋_GB2312" w:cs="宋体"/>
                <w:kern w:val="0"/>
                <w:sz w:val="24"/>
              </w:rPr>
              <w:t>③事前是否已经过必要的可行性研究、专家论证、风险评估、集体决策等。</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36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8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绩效</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目标</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合理性</w:t>
            </w:r>
          </w:p>
        </w:tc>
        <w:tc>
          <w:tcPr>
            <w:tcW w:w="525"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4</w:t>
            </w:r>
          </w:p>
        </w:tc>
        <w:tc>
          <w:tcPr>
            <w:tcW w:w="2766" w:type="dxa"/>
            <w:vMerge w:val="restart"/>
            <w:tcBorders>
              <w:top w:val="nil"/>
              <w:left w:val="single" w:color="auto" w:sz="4" w:space="0"/>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项目所设定的绩效目标是否依椐充分，是否符合客观实际，用以反映和考核项目绩效目标与项目实施的相符情况。</w:t>
            </w:r>
          </w:p>
        </w:tc>
        <w:tc>
          <w:tcPr>
            <w:tcW w:w="4104" w:type="dxa"/>
            <w:tcBorders>
              <w:top w:val="nil"/>
              <w:left w:val="nil"/>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评价要点：</w:t>
            </w:r>
          </w:p>
        </w:tc>
        <w:tc>
          <w:tcPr>
            <w:tcW w:w="375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60" w:lineRule="exact"/>
              <w:jc w:val="left"/>
              <w:rPr>
                <w:rFonts w:ascii="仿宋_GB2312" w:hAnsi="??" w:eastAsia="仿宋_GB2312" w:cs="宋体"/>
                <w:kern w:val="0"/>
                <w:sz w:val="24"/>
              </w:rPr>
            </w:pPr>
            <w:r>
              <w:rPr>
                <w:rFonts w:hint="eastAsia" w:ascii="仿宋_GB2312" w:hAnsi="??" w:eastAsia="仿宋_GB2312" w:cs="宋体"/>
                <w:kern w:val="0"/>
                <w:sz w:val="24"/>
              </w:rPr>
              <w:t>项目设定的绩效目标符合国家相关法律法规等；符合客观实际，与单位职责密切相关；项目为促进事业发展所必需；项目绩效目标符合正常业绩水平；符合一条得1分，否则扣1分，扣完为止。</w:t>
            </w:r>
          </w:p>
        </w:tc>
        <w:tc>
          <w:tcPr>
            <w:tcW w:w="58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4</w:t>
            </w:r>
          </w:p>
        </w:tc>
      </w:tr>
      <w:tr>
        <w:tblPrEx>
          <w:tblLayout w:type="fixed"/>
          <w:tblCellMar>
            <w:top w:w="0" w:type="dxa"/>
            <w:left w:w="108" w:type="dxa"/>
            <w:bottom w:w="0" w:type="dxa"/>
            <w:right w:w="108" w:type="dxa"/>
          </w:tblCellMar>
        </w:tblPrEx>
        <w:trPr>
          <w:trHeight w:val="48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4104" w:type="dxa"/>
            <w:tcBorders>
              <w:top w:val="nil"/>
              <w:left w:val="nil"/>
              <w:bottom w:val="single" w:color="auto" w:sz="4" w:space="0"/>
              <w:right w:val="single" w:color="auto" w:sz="4" w:space="0"/>
            </w:tcBorders>
            <w:vAlign w:val="center"/>
          </w:tcPr>
          <w:p>
            <w:pPr>
              <w:widowControl/>
              <w:spacing w:line="360" w:lineRule="exact"/>
              <w:rPr>
                <w:rFonts w:ascii="仿宋_GB2312" w:hAnsi="??" w:eastAsia="仿宋_GB2312" w:cs="宋体"/>
                <w:kern w:val="0"/>
                <w:sz w:val="24"/>
              </w:rPr>
            </w:pPr>
            <w:r>
              <w:rPr>
                <w:rFonts w:hint="eastAsia" w:ascii="仿宋_GB2312" w:hAnsi="??" w:eastAsia="仿宋_GB2312" w:cs="宋体"/>
                <w:kern w:val="0"/>
                <w:sz w:val="24"/>
              </w:rPr>
              <w:t>①是否符合国家相关法律法规，国民经济发展规划和党委政府决策；</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48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4104" w:type="dxa"/>
            <w:tcBorders>
              <w:top w:val="nil"/>
              <w:left w:val="nil"/>
              <w:bottom w:val="single" w:color="auto" w:sz="4" w:space="0"/>
              <w:right w:val="single" w:color="auto" w:sz="4" w:space="0"/>
            </w:tcBorders>
            <w:vAlign w:val="center"/>
          </w:tcPr>
          <w:p>
            <w:pPr>
              <w:widowControl/>
              <w:spacing w:line="360" w:lineRule="exact"/>
              <w:rPr>
                <w:rFonts w:ascii="仿宋_GB2312" w:hAnsi="??" w:eastAsia="仿宋_GB2312" w:cs="宋体"/>
                <w:kern w:val="0"/>
                <w:sz w:val="24"/>
              </w:rPr>
            </w:pPr>
            <w:r>
              <w:rPr>
                <w:rFonts w:hint="eastAsia" w:ascii="仿宋_GB2312" w:hAnsi="??" w:eastAsia="仿宋_GB2312" w:cs="宋体"/>
                <w:kern w:val="0"/>
                <w:sz w:val="24"/>
              </w:rPr>
              <w:t>②是否与项目实施单位或委托单位职责密切相关；</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4104" w:type="dxa"/>
            <w:tcBorders>
              <w:top w:val="nil"/>
              <w:left w:val="nil"/>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③项目是否为促进事业发展所必需；</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48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4104" w:type="dxa"/>
            <w:tcBorders>
              <w:top w:val="nil"/>
              <w:left w:val="nil"/>
              <w:bottom w:val="single" w:color="auto" w:sz="4" w:space="0"/>
              <w:right w:val="single" w:color="auto" w:sz="4" w:space="0"/>
            </w:tcBorders>
            <w:vAlign w:val="center"/>
          </w:tcPr>
          <w:p>
            <w:pPr>
              <w:widowControl/>
              <w:spacing w:line="360" w:lineRule="exact"/>
              <w:rPr>
                <w:rFonts w:ascii="仿宋_GB2312" w:hAnsi="??" w:eastAsia="仿宋_GB2312" w:cs="宋体"/>
                <w:kern w:val="0"/>
                <w:sz w:val="24"/>
              </w:rPr>
            </w:pPr>
            <w:r>
              <w:rPr>
                <w:rFonts w:hint="eastAsia" w:ascii="仿宋_GB2312" w:hAnsi="??" w:eastAsia="仿宋_GB2312" w:cs="宋体"/>
                <w:kern w:val="0"/>
                <w:sz w:val="24"/>
              </w:rPr>
              <w:t>④项目顸期产出效益和效果是否符合正常的业绩水平。</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绩效</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指标</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明确性</w:t>
            </w:r>
          </w:p>
        </w:tc>
        <w:tc>
          <w:tcPr>
            <w:tcW w:w="525"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4</w:t>
            </w:r>
          </w:p>
        </w:tc>
        <w:tc>
          <w:tcPr>
            <w:tcW w:w="2766" w:type="dxa"/>
            <w:vMerge w:val="restart"/>
            <w:tcBorders>
              <w:top w:val="nil"/>
              <w:left w:val="single" w:color="auto" w:sz="4" w:space="0"/>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依椐绩效目标设定的绩效指标是否清晰、细化、可衡量等，用以反映和考核项目绩效目标的明细化情况。</w:t>
            </w:r>
          </w:p>
        </w:tc>
        <w:tc>
          <w:tcPr>
            <w:tcW w:w="4104" w:type="dxa"/>
            <w:tcBorders>
              <w:top w:val="nil"/>
              <w:left w:val="nil"/>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评价要点：</w:t>
            </w:r>
          </w:p>
        </w:tc>
        <w:tc>
          <w:tcPr>
            <w:tcW w:w="375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绩效目标细化并能通过可衡量指标体现；项目与年度任务或计划相对应；目标与预定投资额或资金量相匹配；符合其中一条得1分，否则扣1分，扣完为止。</w:t>
            </w:r>
          </w:p>
        </w:tc>
        <w:tc>
          <w:tcPr>
            <w:tcW w:w="58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4</w:t>
            </w:r>
          </w:p>
        </w:tc>
      </w:tr>
      <w:tr>
        <w:tblPrEx>
          <w:tblLayout w:type="fixed"/>
          <w:tblCellMar>
            <w:top w:w="0" w:type="dxa"/>
            <w:left w:w="108" w:type="dxa"/>
            <w:bottom w:w="0" w:type="dxa"/>
            <w:right w:w="108" w:type="dxa"/>
          </w:tblCellMar>
        </w:tblPrEx>
        <w:trPr>
          <w:trHeight w:val="48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4104" w:type="dxa"/>
            <w:tcBorders>
              <w:top w:val="nil"/>
              <w:left w:val="nil"/>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①是否将项目绩效目标细化分解为具体的绩效指标；</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48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4104" w:type="dxa"/>
            <w:tcBorders>
              <w:top w:val="nil"/>
              <w:left w:val="nil"/>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②是否通过清晰、可衡量的指标值予以体现；</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28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0"/>
              </w:rPr>
            </w:pPr>
          </w:p>
        </w:tc>
        <w:tc>
          <w:tcPr>
            <w:tcW w:w="4104" w:type="dxa"/>
            <w:tcBorders>
              <w:top w:val="nil"/>
              <w:left w:val="nil"/>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③是否与项目年度任务教或计划数相对应；</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974"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tcBorders>
              <w:top w:val="nil"/>
              <w:left w:val="nil"/>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④是否与预期确定的项目投资</w:t>
            </w:r>
            <w:r>
              <w:rPr>
                <w:rFonts w:ascii="仿宋_GB2312" w:hAnsi="??" w:eastAsia="Times New Roman" w:cs="宋体"/>
                <w:kern w:val="0"/>
                <w:sz w:val="24"/>
              </w:rPr>
              <w:t>額</w:t>
            </w:r>
            <w:r>
              <w:rPr>
                <w:rFonts w:hint="eastAsia" w:ascii="仿宋_GB2312" w:hAnsi="??" w:eastAsia="仿宋_GB2312" w:cs="宋体"/>
                <w:kern w:val="0"/>
                <w:sz w:val="24"/>
              </w:rPr>
              <w:t>或资金量相匹配。</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4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资金</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落实</w:t>
            </w:r>
          </w:p>
        </w:tc>
        <w:tc>
          <w:tcPr>
            <w:tcW w:w="45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8</w:t>
            </w:r>
          </w:p>
        </w:tc>
        <w:tc>
          <w:tcPr>
            <w:tcW w:w="8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资金</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到位率</w:t>
            </w:r>
          </w:p>
        </w:tc>
        <w:tc>
          <w:tcPr>
            <w:tcW w:w="525"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4</w:t>
            </w:r>
          </w:p>
        </w:tc>
        <w:tc>
          <w:tcPr>
            <w:tcW w:w="2766" w:type="dxa"/>
            <w:vMerge w:val="restart"/>
            <w:tcBorders>
              <w:top w:val="nil"/>
              <w:left w:val="single" w:color="auto" w:sz="4" w:space="0"/>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实际到位资金与计划投入资金的比率，用以反映和考核资金落实情况对项目实施的总体保障程度。</w:t>
            </w:r>
          </w:p>
        </w:tc>
        <w:tc>
          <w:tcPr>
            <w:tcW w:w="4104" w:type="dxa"/>
            <w:tcBorders>
              <w:top w:val="nil"/>
              <w:left w:val="nil"/>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资金到位率</w:t>
            </w:r>
            <w:r>
              <w:rPr>
                <w:rFonts w:ascii="仿宋_GB2312" w:hAnsi="??" w:eastAsia="仿宋_GB2312" w:cs="宋体"/>
                <w:kern w:val="0"/>
                <w:sz w:val="24"/>
              </w:rPr>
              <w:t>=</w:t>
            </w:r>
            <w:r>
              <w:rPr>
                <w:rFonts w:hint="eastAsia" w:ascii="仿宋_GB2312" w:hAnsi="??" w:eastAsia="仿宋_GB2312" w:cs="宋体"/>
                <w:kern w:val="0"/>
                <w:sz w:val="24"/>
              </w:rPr>
              <w:t>（实际到位资金</w:t>
            </w:r>
            <w:r>
              <w:rPr>
                <w:rFonts w:ascii="仿宋_GB2312" w:hAnsi="??" w:eastAsia="仿宋_GB2312" w:cs="宋体"/>
                <w:kern w:val="0"/>
                <w:sz w:val="24"/>
              </w:rPr>
              <w:t>/</w:t>
            </w:r>
            <w:r>
              <w:rPr>
                <w:rFonts w:hint="eastAsia" w:ascii="仿宋_GB2312" w:hAnsi="??" w:eastAsia="仿宋_GB2312" w:cs="宋体"/>
                <w:kern w:val="0"/>
                <w:sz w:val="24"/>
              </w:rPr>
              <w:t>计划投入资金）×</w:t>
            </w:r>
            <w:r>
              <w:rPr>
                <w:rFonts w:ascii="仿宋_GB2312" w:hAnsi="??" w:eastAsia="仿宋_GB2312" w:cs="宋体"/>
                <w:kern w:val="0"/>
                <w:sz w:val="24"/>
              </w:rPr>
              <w:t>100%</w:t>
            </w:r>
            <w:r>
              <w:rPr>
                <w:rFonts w:hint="eastAsia" w:ascii="仿宋_GB2312" w:hAnsi="??" w:eastAsia="仿宋_GB2312" w:cs="宋体"/>
                <w:kern w:val="0"/>
                <w:sz w:val="24"/>
              </w:rPr>
              <w:t>。</w:t>
            </w:r>
          </w:p>
        </w:tc>
        <w:tc>
          <w:tcPr>
            <w:tcW w:w="375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以预算文件为准，专项资金和配套资金同比例到位得4分，资金到位率每降低25%扣1分，扣完为止。</w:t>
            </w:r>
          </w:p>
        </w:tc>
        <w:tc>
          <w:tcPr>
            <w:tcW w:w="58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ascii="仿宋_GB2312" w:hAnsi="宋体" w:eastAsia="仿宋_GB2312" w:cs="宋体"/>
                <w:kern w:val="0"/>
                <w:sz w:val="20"/>
              </w:rPr>
              <w:t>4</w:t>
            </w:r>
          </w:p>
        </w:tc>
      </w:tr>
      <w:tr>
        <w:tblPrEx>
          <w:tblLayout w:type="fixed"/>
          <w:tblCellMar>
            <w:top w:w="0" w:type="dxa"/>
            <w:left w:w="108" w:type="dxa"/>
            <w:bottom w:w="0" w:type="dxa"/>
            <w:right w:w="108" w:type="dxa"/>
          </w:tblCellMar>
        </w:tblPrEx>
        <w:trPr>
          <w:trHeight w:val="48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tcBorders>
              <w:top w:val="nil"/>
              <w:left w:val="nil"/>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实际到位资金：一定时期（本年度或项目期）内实际落实到具体项目的资金。</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48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tcBorders>
              <w:top w:val="nil"/>
              <w:left w:val="nil"/>
              <w:bottom w:val="single" w:color="auto" w:sz="4" w:space="0"/>
              <w:right w:val="single" w:color="auto" w:sz="4" w:space="0"/>
            </w:tcBorders>
            <w:vAlign w:val="center"/>
          </w:tcPr>
          <w:p>
            <w:pPr>
              <w:widowControl/>
              <w:spacing w:line="400" w:lineRule="exact"/>
              <w:rPr>
                <w:rFonts w:ascii="仿宋_GB2312" w:hAnsi="??" w:eastAsia="仿宋_GB2312" w:cs="宋体"/>
                <w:kern w:val="0"/>
                <w:sz w:val="24"/>
              </w:rPr>
            </w:pPr>
            <w:r>
              <w:rPr>
                <w:rFonts w:hint="eastAsia" w:ascii="仿宋_GB2312" w:hAnsi="??" w:eastAsia="仿宋_GB2312" w:cs="宋体"/>
                <w:kern w:val="0"/>
                <w:sz w:val="24"/>
              </w:rPr>
              <w:t>计划投入资金：一定时期（木年度或项目期）内计划投入到具体项目的资金。</w:t>
            </w: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1579"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到位</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及时率</w:t>
            </w:r>
          </w:p>
        </w:tc>
        <w:tc>
          <w:tcPr>
            <w:tcW w:w="525"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4</w:t>
            </w:r>
          </w:p>
        </w:tc>
        <w:tc>
          <w:tcPr>
            <w:tcW w:w="2766"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及时到位资金与应到位资金的比率，用以反映和考核项目资金落实的及时性程度。</w:t>
            </w:r>
          </w:p>
        </w:tc>
        <w:tc>
          <w:tcPr>
            <w:tcW w:w="4104" w:type="dxa"/>
            <w:tcBorders>
              <w:top w:val="nil"/>
              <w:left w:val="nil"/>
              <w:bottom w:val="single" w:color="auto" w:sz="4" w:space="0"/>
              <w:right w:val="single" w:color="auto" w:sz="4" w:space="0"/>
            </w:tcBorders>
            <w:shd w:val="clear" w:color="auto" w:fill="FFFFFF"/>
            <w:vAlign w:val="center"/>
          </w:tcPr>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到位及时率＝（及时到位资金</w:t>
            </w:r>
            <w:r>
              <w:rPr>
                <w:rFonts w:ascii="仿宋_GB2312" w:hAnsi="??" w:eastAsia="仿宋_GB2312" w:cs="宋体"/>
                <w:kern w:val="0"/>
                <w:sz w:val="24"/>
              </w:rPr>
              <w:t>/</w:t>
            </w:r>
            <w:r>
              <w:rPr>
                <w:rFonts w:hint="eastAsia" w:ascii="仿宋_GB2312" w:hAnsi="??" w:eastAsia="仿宋_GB2312" w:cs="宋体"/>
                <w:kern w:val="0"/>
                <w:sz w:val="24"/>
              </w:rPr>
              <w:t>应到位资金）×</w:t>
            </w:r>
            <w:r>
              <w:rPr>
                <w:rFonts w:ascii="仿宋_GB2312" w:hAnsi="??" w:eastAsia="仿宋_GB2312" w:cs="宋体"/>
                <w:kern w:val="0"/>
                <w:sz w:val="24"/>
              </w:rPr>
              <w:t>100%</w:t>
            </w:r>
            <w:r>
              <w:rPr>
                <w:rFonts w:hint="eastAsia" w:ascii="仿宋_GB2312" w:hAnsi="??" w:eastAsia="仿宋_GB2312" w:cs="宋体"/>
                <w:kern w:val="0"/>
                <w:sz w:val="24"/>
              </w:rPr>
              <w:t>。</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及时到位资金：截至规定时点实际落实到具体项目的资金</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应到位资金：按照合同或项目进度要求戴至规定时点应落实到具体项目的资金</w:t>
            </w:r>
          </w:p>
        </w:tc>
        <w:tc>
          <w:tcPr>
            <w:tcW w:w="3754"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以预算文件日期为准，资金在1个月内到位得4分，资金每推迟1个月份扣1分，扣完为止。</w:t>
            </w:r>
          </w:p>
        </w:tc>
        <w:tc>
          <w:tcPr>
            <w:tcW w:w="58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ascii="仿宋_GB2312" w:hAnsi="宋体" w:eastAsia="仿宋_GB2312" w:cs="宋体"/>
                <w:kern w:val="0"/>
                <w:sz w:val="20"/>
              </w:rPr>
              <w:t>4</w:t>
            </w:r>
          </w:p>
        </w:tc>
      </w:tr>
      <w:tr>
        <w:tblPrEx>
          <w:tblLayout w:type="fixed"/>
          <w:tblCellMar>
            <w:top w:w="0" w:type="dxa"/>
            <w:left w:w="108" w:type="dxa"/>
            <w:bottom w:w="0" w:type="dxa"/>
            <w:right w:w="108" w:type="dxa"/>
          </w:tblCellMar>
        </w:tblPrEx>
        <w:trPr>
          <w:trHeight w:val="572" w:hRule="atLeast"/>
          <w:jc w:val="center"/>
        </w:trPr>
        <w:tc>
          <w:tcPr>
            <w:tcW w:w="7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过</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程</w:t>
            </w:r>
          </w:p>
        </w:tc>
        <w:tc>
          <w:tcPr>
            <w:tcW w:w="45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30</w:t>
            </w:r>
          </w:p>
        </w:tc>
        <w:tc>
          <w:tcPr>
            <w:tcW w:w="767"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业务</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管理</w:t>
            </w:r>
          </w:p>
        </w:tc>
        <w:tc>
          <w:tcPr>
            <w:tcW w:w="45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10</w:t>
            </w:r>
          </w:p>
        </w:tc>
        <w:tc>
          <w:tcPr>
            <w:tcW w:w="8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管理</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制度</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健全性</w:t>
            </w:r>
          </w:p>
        </w:tc>
        <w:tc>
          <w:tcPr>
            <w:tcW w:w="525"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2</w:t>
            </w:r>
          </w:p>
        </w:tc>
        <w:tc>
          <w:tcPr>
            <w:tcW w:w="276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项目实施单位的业务管理制度是否健全，用以反映和考核止务管评制度对项目顺利实施的保障情况。</w:t>
            </w:r>
          </w:p>
        </w:tc>
        <w:tc>
          <w:tcPr>
            <w:tcW w:w="41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评价要点：①是否已制定或具有相应的业务管理制度；</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②业务管理制度是否合法、合规、完整。</w:t>
            </w:r>
          </w:p>
        </w:tc>
        <w:tc>
          <w:tcPr>
            <w:tcW w:w="375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业务管理制度已制度，得1分，否则不得分；业务管理制度合法、合规、完整得1分，否则不得分。</w:t>
            </w:r>
          </w:p>
        </w:tc>
        <w:tc>
          <w:tcPr>
            <w:tcW w:w="58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2</w:t>
            </w: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 w:eastAsia="仿宋_GB2312" w:cs="宋体"/>
                <w:kern w:val="0"/>
                <w:sz w:val="24"/>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 w:eastAsia="仿宋_GB2312" w:cs="宋体"/>
                <w:kern w:val="0"/>
                <w:sz w:val="24"/>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81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8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制度</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执行</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有效性</w:t>
            </w:r>
          </w:p>
        </w:tc>
        <w:tc>
          <w:tcPr>
            <w:tcW w:w="525"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4</w:t>
            </w:r>
          </w:p>
        </w:tc>
        <w:tc>
          <w:tcPr>
            <w:tcW w:w="276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项目实施是否符合相关业务管理规定，用以反映和考核业务管理制度的有效执行情况。</w:t>
            </w:r>
          </w:p>
        </w:tc>
        <w:tc>
          <w:tcPr>
            <w:tcW w:w="41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评价要点：</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①是否遵守相关法律法规和业务管理规定；</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②项目调整及支出调整手续是否完备；</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③项目合同书、验收报告、技术务定等资料是否齐全并及时归档</w:t>
            </w:r>
            <w:r>
              <w:rPr>
                <w:rFonts w:ascii="仿宋_GB2312" w:hAnsi="??" w:eastAsia="仿宋_GB2312" w:cs="宋体"/>
                <w:kern w:val="0"/>
                <w:sz w:val="24"/>
              </w:rPr>
              <w:t>;</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④项目实施的人员条件、场地设备，信息支撑等是否落实到位。</w:t>
            </w:r>
          </w:p>
        </w:tc>
        <w:tc>
          <w:tcPr>
            <w:tcW w:w="375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制度执行得力得</w:t>
            </w:r>
            <w:r>
              <w:rPr>
                <w:rFonts w:ascii="仿宋_GB2312" w:hAnsi="??" w:eastAsia="仿宋_GB2312" w:cs="宋体"/>
                <w:kern w:val="0"/>
                <w:sz w:val="24"/>
              </w:rPr>
              <w:t>4</w:t>
            </w:r>
            <w:r>
              <w:rPr>
                <w:rFonts w:hint="eastAsia" w:ascii="仿宋_GB2312" w:hAnsi="??" w:eastAsia="仿宋_GB2312" w:cs="宋体"/>
                <w:kern w:val="0"/>
                <w:sz w:val="24"/>
              </w:rPr>
              <w:t>分，基本得力</w:t>
            </w:r>
            <w:r>
              <w:rPr>
                <w:rFonts w:ascii="仿宋_GB2312" w:hAnsi="??" w:eastAsia="仿宋_GB2312" w:cs="宋体"/>
                <w:kern w:val="0"/>
                <w:sz w:val="24"/>
              </w:rPr>
              <w:t>2</w:t>
            </w:r>
            <w:r>
              <w:rPr>
                <w:rFonts w:hint="eastAsia" w:ascii="仿宋_GB2312" w:hAnsi="??" w:eastAsia="仿宋_GB2312" w:cs="宋体"/>
                <w:kern w:val="0"/>
                <w:sz w:val="24"/>
              </w:rPr>
              <w:t>分，不按规定程序执行得</w:t>
            </w:r>
            <w:r>
              <w:rPr>
                <w:rFonts w:ascii="仿宋_GB2312" w:hAnsi="??" w:eastAsia="仿宋_GB2312" w:cs="宋体"/>
                <w:kern w:val="0"/>
                <w:sz w:val="24"/>
              </w:rPr>
              <w:t>0</w:t>
            </w:r>
            <w:r>
              <w:rPr>
                <w:rFonts w:hint="eastAsia" w:ascii="仿宋_GB2312" w:hAnsi="??" w:eastAsia="仿宋_GB2312" w:cs="宋体"/>
                <w:kern w:val="0"/>
                <w:sz w:val="24"/>
              </w:rPr>
              <w:t>分。</w:t>
            </w:r>
          </w:p>
        </w:tc>
        <w:tc>
          <w:tcPr>
            <w:tcW w:w="58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4</w:t>
            </w: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项目</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质量</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可控性</w:t>
            </w:r>
          </w:p>
        </w:tc>
        <w:tc>
          <w:tcPr>
            <w:tcW w:w="525"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4</w:t>
            </w:r>
          </w:p>
        </w:tc>
        <w:tc>
          <w:tcPr>
            <w:tcW w:w="276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项目实施至位是否为达到项目质量要求而采取了必需的措施，用以反映和考核项目实施单位对项目质量的控制情况。</w:t>
            </w:r>
          </w:p>
        </w:tc>
        <w:tc>
          <w:tcPr>
            <w:tcW w:w="41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①是否已制定或其有相应的项目质量要求或标准；</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②是否采取了相应的项目质量检查、验收等必需的控制措施或手段。</w:t>
            </w:r>
          </w:p>
        </w:tc>
        <w:tc>
          <w:tcPr>
            <w:tcW w:w="375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ascii="仿宋_GB2312" w:hAnsi="??" w:eastAsia="仿宋_GB2312" w:cs="宋体"/>
                <w:kern w:val="0"/>
                <w:sz w:val="24"/>
              </w:rPr>
              <w:t>1</w:t>
            </w:r>
            <w:r>
              <w:rPr>
                <w:rFonts w:hint="eastAsia" w:ascii="仿宋_GB2312" w:hAnsi="??" w:eastAsia="仿宋_GB2312" w:cs="宋体"/>
                <w:kern w:val="0"/>
                <w:sz w:val="24"/>
              </w:rPr>
              <w:t>、项目业务管理制度对项目工作控制有效得</w:t>
            </w:r>
            <w:r>
              <w:rPr>
                <w:rFonts w:ascii="仿宋_GB2312" w:hAnsi="??" w:eastAsia="仿宋_GB2312" w:cs="宋体"/>
                <w:kern w:val="0"/>
                <w:sz w:val="24"/>
              </w:rPr>
              <w:t>4</w:t>
            </w:r>
            <w:r>
              <w:rPr>
                <w:rFonts w:hint="eastAsia" w:ascii="仿宋_GB2312" w:hAnsi="??" w:eastAsia="仿宋_GB2312" w:cs="宋体"/>
                <w:kern w:val="0"/>
                <w:sz w:val="24"/>
              </w:rPr>
              <w:t>分，较有效</w:t>
            </w:r>
            <w:r>
              <w:rPr>
                <w:rFonts w:ascii="仿宋_GB2312" w:hAnsi="??" w:eastAsia="仿宋_GB2312" w:cs="宋体"/>
                <w:kern w:val="0"/>
                <w:sz w:val="24"/>
              </w:rPr>
              <w:t>2</w:t>
            </w:r>
            <w:r>
              <w:rPr>
                <w:rFonts w:hint="eastAsia" w:ascii="仿宋_GB2312" w:hAnsi="??" w:eastAsia="仿宋_GB2312" w:cs="宋体"/>
                <w:kern w:val="0"/>
                <w:sz w:val="24"/>
              </w:rPr>
              <w:t>分、基本有效得</w:t>
            </w:r>
            <w:r>
              <w:rPr>
                <w:rFonts w:ascii="仿宋_GB2312" w:hAnsi="??" w:eastAsia="仿宋_GB2312" w:cs="宋体"/>
                <w:kern w:val="0"/>
                <w:sz w:val="24"/>
              </w:rPr>
              <w:t>1</w:t>
            </w:r>
            <w:r>
              <w:rPr>
                <w:rFonts w:hint="eastAsia" w:ascii="仿宋_GB2312" w:hAnsi="??" w:eastAsia="仿宋_GB2312" w:cs="宋体"/>
                <w:kern w:val="0"/>
                <w:sz w:val="24"/>
              </w:rPr>
              <w:t>分，无效得</w:t>
            </w:r>
            <w:r>
              <w:rPr>
                <w:rFonts w:ascii="仿宋_GB2312" w:hAnsi="??" w:eastAsia="仿宋_GB2312" w:cs="宋体"/>
                <w:kern w:val="0"/>
                <w:sz w:val="24"/>
              </w:rPr>
              <w:t>0</w:t>
            </w:r>
            <w:r>
              <w:rPr>
                <w:rFonts w:hint="eastAsia" w:ascii="仿宋_GB2312" w:hAnsi="??" w:eastAsia="仿宋_GB2312" w:cs="宋体"/>
                <w:kern w:val="0"/>
                <w:sz w:val="24"/>
              </w:rPr>
              <w:t>分。</w:t>
            </w:r>
          </w:p>
        </w:tc>
        <w:tc>
          <w:tcPr>
            <w:tcW w:w="58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4</w:t>
            </w: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 w:eastAsia="仿宋_GB2312" w:cs="宋体"/>
                <w:kern w:val="0"/>
                <w:sz w:val="24"/>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 w:eastAsia="仿宋_GB2312" w:cs="宋体"/>
                <w:kern w:val="0"/>
                <w:sz w:val="24"/>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66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 w:eastAsia="仿宋_GB2312" w:cs="宋体"/>
                <w:kern w:val="0"/>
                <w:sz w:val="24"/>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 w:eastAsia="仿宋_GB2312" w:cs="宋体"/>
                <w:kern w:val="0"/>
                <w:sz w:val="24"/>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财务管理</w:t>
            </w:r>
          </w:p>
        </w:tc>
        <w:tc>
          <w:tcPr>
            <w:tcW w:w="45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20</w:t>
            </w:r>
          </w:p>
        </w:tc>
        <w:tc>
          <w:tcPr>
            <w:tcW w:w="8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管理</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制度</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健全性</w:t>
            </w:r>
          </w:p>
        </w:tc>
        <w:tc>
          <w:tcPr>
            <w:tcW w:w="525"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ascii="仿宋_GB2312" w:hAnsi="宋体" w:eastAsia="仿宋_GB2312" w:cs="宋体"/>
                <w:kern w:val="0"/>
                <w:sz w:val="20"/>
              </w:rPr>
              <w:t>6</w:t>
            </w:r>
          </w:p>
        </w:tc>
        <w:tc>
          <w:tcPr>
            <w:tcW w:w="276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项目单位的财务制度是否健全，用以反映和考核财务管理制度对资金规范、安全运行的保障情况。</w:t>
            </w:r>
          </w:p>
        </w:tc>
        <w:tc>
          <w:tcPr>
            <w:tcW w:w="41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①是否已制定或具有相应的项目资金管理办法；</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②项目资金管理办法是否符合相关财务会计制度的规定。</w:t>
            </w:r>
          </w:p>
        </w:tc>
        <w:tc>
          <w:tcPr>
            <w:tcW w:w="375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分为“健全、基本健全、不健全”三档，分别得6分、4分、0分。有财务制度、控设计合理的为健全；有制度但内容不够完善为基本健全；无财务制度或制度有严重缺陷的，为不健全。</w:t>
            </w:r>
          </w:p>
        </w:tc>
        <w:tc>
          <w:tcPr>
            <w:tcW w:w="58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6</w:t>
            </w: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0"/>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kern w:val="0"/>
                <w:sz w:val="20"/>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8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资金</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使用</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合规性</w:t>
            </w:r>
          </w:p>
        </w:tc>
        <w:tc>
          <w:tcPr>
            <w:tcW w:w="525"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ascii="仿宋_GB2312" w:hAnsi="宋体" w:eastAsia="仿宋_GB2312" w:cs="宋体"/>
                <w:kern w:val="0"/>
                <w:sz w:val="20"/>
              </w:rPr>
              <w:t>8</w:t>
            </w:r>
          </w:p>
        </w:tc>
        <w:tc>
          <w:tcPr>
            <w:tcW w:w="276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项目资金使用是否符合相关的财务管理制度规定，用以反映和考核项目资金的规范运行情况。</w:t>
            </w:r>
          </w:p>
        </w:tc>
        <w:tc>
          <w:tcPr>
            <w:tcW w:w="41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①是否符合国家财经法规和财务管理制度以及有关专项资金管理办法的规定；</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②资金的拨付是否有完整的审批程序和手续；</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③项目的重大开支是否经过评估认证；</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④是否符合预算批复或合同规定的用途；</w:t>
            </w:r>
          </w:p>
          <w:p>
            <w:pPr>
              <w:widowControl/>
              <w:spacing w:line="340" w:lineRule="exact"/>
              <w:jc w:val="left"/>
              <w:rPr>
                <w:rFonts w:ascii="仿宋_GB2312" w:hAnsi="??" w:eastAsia="仿宋_GB2312" w:cs="宋体"/>
                <w:kern w:val="0"/>
                <w:sz w:val="24"/>
              </w:rPr>
            </w:pPr>
            <w:r>
              <w:rPr>
                <w:rFonts w:hint="eastAsia" w:ascii="仿宋_GB2312" w:hAnsi="??" w:eastAsia="仿宋_GB2312" w:cs="宋体"/>
                <w:kern w:val="0"/>
                <w:sz w:val="24"/>
              </w:rPr>
              <w:t>⑤是否存在截留、挤占、挪用、虚列支出等情况。</w:t>
            </w:r>
          </w:p>
        </w:tc>
        <w:tc>
          <w:tcPr>
            <w:tcW w:w="375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项目经费使用符合专项资金管理相关规定，未发现违规现象得6-8分，存在违规现象但不严重时扣1-6分，严重违规的不得分。</w:t>
            </w:r>
          </w:p>
        </w:tc>
        <w:tc>
          <w:tcPr>
            <w:tcW w:w="58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8</w:t>
            </w: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60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1279"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财务</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监控</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有效性</w:t>
            </w:r>
          </w:p>
        </w:tc>
        <w:tc>
          <w:tcPr>
            <w:tcW w:w="525"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6</w:t>
            </w:r>
          </w:p>
        </w:tc>
        <w:tc>
          <w:tcPr>
            <w:tcW w:w="2766" w:type="dxa"/>
            <w:tcBorders>
              <w:top w:val="nil"/>
              <w:left w:val="nil"/>
              <w:bottom w:val="single" w:color="auto" w:sz="4" w:space="0"/>
              <w:right w:val="single" w:color="auto" w:sz="4" w:space="0"/>
            </w:tcBorders>
            <w:shd w:val="clear" w:color="auto" w:fill="FFFFFF"/>
            <w:vAlign w:val="center"/>
          </w:tcPr>
          <w:p>
            <w:pPr>
              <w:widowControl/>
              <w:spacing w:line="380" w:lineRule="exact"/>
              <w:jc w:val="left"/>
              <w:rPr>
                <w:rFonts w:ascii="仿宋_GB2312" w:hAnsi="??" w:eastAsia="仿宋_GB2312" w:cs="宋体"/>
                <w:kern w:val="0"/>
                <w:sz w:val="24"/>
              </w:rPr>
            </w:pPr>
            <w:r>
              <w:rPr>
                <w:rFonts w:hint="eastAsia" w:ascii="仿宋_GB2312" w:hAnsi="??" w:eastAsia="仿宋_GB2312" w:cs="宋体"/>
                <w:kern w:val="0"/>
                <w:sz w:val="24"/>
              </w:rPr>
              <w:t>项目单位是否为保障资金的安全、规范运行而采取了必要的监控措施，用以反映和考核项目单位对资金运行的控制情况。</w:t>
            </w:r>
          </w:p>
        </w:tc>
        <w:tc>
          <w:tcPr>
            <w:tcW w:w="4104" w:type="dxa"/>
            <w:tcBorders>
              <w:top w:val="nil"/>
              <w:left w:val="nil"/>
              <w:bottom w:val="single" w:color="auto" w:sz="4" w:space="0"/>
              <w:right w:val="single" w:color="auto" w:sz="4" w:space="0"/>
            </w:tcBorders>
            <w:shd w:val="clear" w:color="auto" w:fill="FFFFFF"/>
            <w:vAlign w:val="center"/>
          </w:tcPr>
          <w:p>
            <w:pPr>
              <w:widowControl/>
              <w:spacing w:line="380" w:lineRule="exact"/>
              <w:jc w:val="left"/>
              <w:rPr>
                <w:rFonts w:ascii="仿宋_GB2312" w:hAnsi="??" w:eastAsia="仿宋_GB2312" w:cs="宋体"/>
                <w:kern w:val="0"/>
                <w:sz w:val="24"/>
              </w:rPr>
            </w:pPr>
            <w:r>
              <w:rPr>
                <w:rFonts w:hint="eastAsia" w:ascii="仿宋_GB2312" w:hAnsi="??" w:eastAsia="仿宋_GB2312" w:cs="宋体"/>
                <w:kern w:val="0"/>
                <w:sz w:val="24"/>
              </w:rPr>
              <w:t>①是否已制定或具有相应的监控机制；</w:t>
            </w:r>
            <w:r>
              <w:rPr>
                <w:rFonts w:ascii="仿宋_GB2312" w:hAnsi="??" w:eastAsia="仿宋_GB2312" w:cs="宋体"/>
                <w:kern w:val="0"/>
                <w:sz w:val="24"/>
              </w:rPr>
              <w:br w:type="textWrapping"/>
            </w:r>
            <w:r>
              <w:rPr>
                <w:rFonts w:hint="eastAsia" w:ascii="仿宋_GB2312" w:hAnsi="??" w:eastAsia="仿宋_GB2312" w:cs="宋体"/>
                <w:kern w:val="0"/>
                <w:sz w:val="24"/>
              </w:rPr>
              <w:t>②是否采取了相应的财务检查等必要的监控措施或手段。</w:t>
            </w:r>
          </w:p>
        </w:tc>
        <w:tc>
          <w:tcPr>
            <w:tcW w:w="3754"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财务核算及时，资金使用审批手续完善，财务资料完整得4-6分,出现违规情况扣1-4分，严重违规的不得分。</w:t>
            </w:r>
          </w:p>
        </w:tc>
        <w:tc>
          <w:tcPr>
            <w:tcW w:w="58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4</w:t>
            </w:r>
          </w:p>
        </w:tc>
      </w:tr>
      <w:tr>
        <w:tblPrEx>
          <w:tblLayout w:type="fixed"/>
          <w:tblCellMar>
            <w:top w:w="0" w:type="dxa"/>
            <w:left w:w="108" w:type="dxa"/>
            <w:bottom w:w="0" w:type="dxa"/>
            <w:right w:w="108" w:type="dxa"/>
          </w:tblCellMar>
        </w:tblPrEx>
        <w:trPr>
          <w:trHeight w:val="1542" w:hRule="atLeast"/>
          <w:jc w:val="center"/>
        </w:trPr>
        <w:tc>
          <w:tcPr>
            <w:tcW w:w="7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产</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出</w:t>
            </w: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效果</w:t>
            </w:r>
          </w:p>
        </w:tc>
        <w:tc>
          <w:tcPr>
            <w:tcW w:w="45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rPr>
                <w:rFonts w:ascii="仿宋_GB2312" w:hAnsi="??" w:eastAsia="仿宋_GB2312" w:cs="宋体"/>
                <w:kern w:val="0"/>
                <w:sz w:val="24"/>
              </w:rPr>
            </w:pPr>
            <w:r>
              <w:rPr>
                <w:rFonts w:ascii="仿宋_GB2312" w:hAnsi="??" w:eastAsia="仿宋_GB2312" w:cs="宋体"/>
                <w:kern w:val="0"/>
                <w:sz w:val="24"/>
              </w:rPr>
              <w:t>30</w:t>
            </w: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p>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20</w:t>
            </w:r>
          </w:p>
        </w:tc>
        <w:tc>
          <w:tcPr>
            <w:tcW w:w="767"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项目</w:t>
            </w:r>
            <w:r>
              <w:rPr>
                <w:rFonts w:ascii="仿宋_GB2312" w:hAnsi="??" w:eastAsia="仿宋_GB2312" w:cs="宋体"/>
                <w:kern w:val="0"/>
                <w:sz w:val="24"/>
              </w:rPr>
              <w:br w:type="textWrapping"/>
            </w:r>
            <w:r>
              <w:rPr>
                <w:rFonts w:hint="eastAsia" w:ascii="仿宋_GB2312" w:hAnsi="??" w:eastAsia="仿宋_GB2312" w:cs="宋体"/>
                <w:kern w:val="0"/>
                <w:sz w:val="24"/>
              </w:rPr>
              <w:t>产出</w:t>
            </w:r>
          </w:p>
        </w:tc>
        <w:tc>
          <w:tcPr>
            <w:tcW w:w="45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30</w:t>
            </w:r>
          </w:p>
        </w:tc>
        <w:tc>
          <w:tcPr>
            <w:tcW w:w="804" w:type="dxa"/>
            <w:tcBorders>
              <w:top w:val="nil"/>
              <w:left w:val="nil"/>
              <w:bottom w:val="single" w:color="auto" w:sz="4" w:space="0"/>
              <w:right w:val="single" w:color="auto" w:sz="4" w:space="0"/>
            </w:tcBorders>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实际</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完成率</w:t>
            </w:r>
          </w:p>
        </w:tc>
        <w:tc>
          <w:tcPr>
            <w:tcW w:w="525" w:type="dxa"/>
            <w:tcBorders>
              <w:top w:val="nil"/>
              <w:left w:val="nil"/>
              <w:bottom w:val="single" w:color="auto" w:sz="4" w:space="0"/>
              <w:right w:val="single" w:color="auto" w:sz="4" w:space="0"/>
            </w:tcBorders>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8</w:t>
            </w:r>
          </w:p>
        </w:tc>
        <w:tc>
          <w:tcPr>
            <w:tcW w:w="2766" w:type="dxa"/>
            <w:tcBorders>
              <w:top w:val="nil"/>
              <w:left w:val="nil"/>
              <w:bottom w:val="single" w:color="auto" w:sz="4" w:space="0"/>
              <w:right w:val="single" w:color="auto" w:sz="4" w:space="0"/>
            </w:tcBorders>
            <w:vAlign w:val="center"/>
          </w:tcPr>
          <w:p>
            <w:pPr>
              <w:widowControl/>
              <w:spacing w:line="380" w:lineRule="exact"/>
              <w:jc w:val="left"/>
              <w:rPr>
                <w:rFonts w:ascii="仿宋_GB2312" w:hAnsi="??" w:eastAsia="仿宋_GB2312" w:cs="宋体"/>
                <w:kern w:val="0"/>
                <w:sz w:val="24"/>
              </w:rPr>
            </w:pPr>
            <w:r>
              <w:rPr>
                <w:rFonts w:hint="eastAsia" w:ascii="仿宋_GB2312" w:hAnsi="??" w:eastAsia="仿宋_GB2312" w:cs="宋体"/>
                <w:kern w:val="0"/>
                <w:sz w:val="24"/>
              </w:rPr>
              <w:t>项目实施的实际产出数与计划产出数的比率，用以反映和考核项目产出数量目标的实现程度。</w:t>
            </w:r>
          </w:p>
        </w:tc>
        <w:tc>
          <w:tcPr>
            <w:tcW w:w="4104" w:type="dxa"/>
            <w:tcBorders>
              <w:top w:val="nil"/>
              <w:left w:val="nil"/>
              <w:bottom w:val="single" w:color="auto" w:sz="4" w:space="0"/>
              <w:right w:val="single" w:color="auto" w:sz="4" w:space="0"/>
            </w:tcBorders>
            <w:vAlign w:val="center"/>
          </w:tcPr>
          <w:p>
            <w:pPr>
              <w:widowControl/>
              <w:spacing w:line="380" w:lineRule="exact"/>
              <w:jc w:val="left"/>
              <w:rPr>
                <w:rFonts w:ascii="仿宋_GB2312" w:hAnsi="??" w:eastAsia="仿宋_GB2312" w:cs="宋体"/>
                <w:kern w:val="0"/>
                <w:sz w:val="24"/>
              </w:rPr>
            </w:pPr>
            <w:r>
              <w:rPr>
                <w:rFonts w:hint="eastAsia" w:ascii="仿宋_GB2312" w:hAnsi="??" w:eastAsia="仿宋_GB2312" w:cs="宋体"/>
                <w:kern w:val="0"/>
                <w:sz w:val="24"/>
              </w:rPr>
              <w:t>实际完成率</w:t>
            </w:r>
            <w:r>
              <w:rPr>
                <w:rFonts w:ascii="仿宋_GB2312" w:hAnsi="??" w:eastAsia="仿宋_GB2312" w:cs="宋体"/>
                <w:kern w:val="0"/>
                <w:sz w:val="24"/>
              </w:rPr>
              <w:t>=</w:t>
            </w:r>
            <w:r>
              <w:rPr>
                <w:rFonts w:hint="eastAsia" w:ascii="仿宋_GB2312" w:hAnsi="??" w:eastAsia="仿宋_GB2312" w:cs="宋体"/>
                <w:kern w:val="0"/>
                <w:sz w:val="24"/>
              </w:rPr>
              <w:t>（实际产出数</w:t>
            </w:r>
            <w:r>
              <w:rPr>
                <w:rFonts w:ascii="仿宋_GB2312" w:hAnsi="??" w:eastAsia="仿宋_GB2312" w:cs="宋体"/>
                <w:kern w:val="0"/>
                <w:sz w:val="24"/>
              </w:rPr>
              <w:t>/</w:t>
            </w:r>
            <w:r>
              <w:rPr>
                <w:rFonts w:hint="eastAsia" w:ascii="仿宋_GB2312" w:hAnsi="??" w:eastAsia="仿宋_GB2312" w:cs="宋体"/>
                <w:kern w:val="0"/>
                <w:sz w:val="24"/>
              </w:rPr>
              <w:t>计划产出数）×</w:t>
            </w:r>
            <w:r>
              <w:rPr>
                <w:rFonts w:ascii="仿宋_GB2312" w:hAnsi="??" w:eastAsia="仿宋_GB2312" w:cs="宋体"/>
                <w:kern w:val="0"/>
                <w:sz w:val="24"/>
              </w:rPr>
              <w:t>100%</w:t>
            </w:r>
            <w:r>
              <w:rPr>
                <w:rFonts w:hint="eastAsia" w:ascii="仿宋_GB2312" w:hAnsi="??" w:eastAsia="仿宋_GB2312" w:cs="宋体"/>
                <w:kern w:val="0"/>
                <w:sz w:val="24"/>
              </w:rPr>
              <w:t>。</w:t>
            </w:r>
          </w:p>
          <w:p>
            <w:pPr>
              <w:widowControl/>
              <w:spacing w:line="380" w:lineRule="exact"/>
              <w:jc w:val="left"/>
              <w:rPr>
                <w:rFonts w:ascii="仿宋_GB2312" w:hAnsi="??" w:eastAsia="仿宋_GB2312" w:cs="宋体"/>
                <w:kern w:val="0"/>
                <w:sz w:val="24"/>
              </w:rPr>
            </w:pPr>
            <w:r>
              <w:rPr>
                <w:rFonts w:hint="eastAsia" w:ascii="仿宋_GB2312" w:hAnsi="??" w:eastAsia="仿宋_GB2312" w:cs="宋体"/>
                <w:kern w:val="0"/>
                <w:sz w:val="24"/>
              </w:rPr>
              <w:t>实际产出数：一定时期（本年度或项目期）内项目实际产出的产品或提供的服务数量。</w:t>
            </w:r>
          </w:p>
          <w:p>
            <w:pPr>
              <w:widowControl/>
              <w:spacing w:line="380" w:lineRule="exact"/>
              <w:jc w:val="left"/>
              <w:rPr>
                <w:rFonts w:ascii="仿宋_GB2312" w:hAnsi="??" w:eastAsia="仿宋_GB2312" w:cs="宋体"/>
                <w:kern w:val="0"/>
                <w:sz w:val="24"/>
              </w:rPr>
            </w:pPr>
            <w:r>
              <w:rPr>
                <w:rFonts w:hint="eastAsia" w:ascii="仿宋_GB2312" w:hAnsi="??" w:eastAsia="仿宋_GB2312" w:cs="宋体"/>
                <w:kern w:val="0"/>
                <w:sz w:val="24"/>
              </w:rPr>
              <w:t>计划产出数：项目绩效目标确定的在本年度内计划产出的产品或提供的服务数量。</w:t>
            </w:r>
          </w:p>
        </w:tc>
        <w:tc>
          <w:tcPr>
            <w:tcW w:w="3754" w:type="dxa"/>
            <w:tcBorders>
              <w:top w:val="nil"/>
              <w:left w:val="nil"/>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以预算文件下达为工作量完成的起始时间，工作量完成进度与时间进度同步得</w:t>
            </w:r>
            <w:r>
              <w:rPr>
                <w:rFonts w:ascii="仿宋_GB2312" w:hAnsi="??" w:eastAsia="仿宋_GB2312" w:cs="宋体"/>
                <w:kern w:val="0"/>
                <w:sz w:val="24"/>
              </w:rPr>
              <w:t>8</w:t>
            </w:r>
            <w:r>
              <w:rPr>
                <w:rFonts w:hint="eastAsia" w:ascii="仿宋_GB2312" w:hAnsi="??" w:eastAsia="仿宋_GB2312" w:cs="宋体"/>
                <w:kern w:val="0"/>
                <w:sz w:val="24"/>
              </w:rPr>
              <w:t>分，不同步扣</w:t>
            </w:r>
            <w:r>
              <w:rPr>
                <w:rFonts w:ascii="仿宋_GB2312" w:hAnsi="??" w:eastAsia="仿宋_GB2312" w:cs="宋体"/>
                <w:kern w:val="0"/>
                <w:sz w:val="24"/>
              </w:rPr>
              <w:t>1-8</w:t>
            </w:r>
            <w:r>
              <w:rPr>
                <w:rFonts w:hint="eastAsia" w:ascii="仿宋_GB2312" w:hAnsi="??" w:eastAsia="仿宋_GB2312" w:cs="宋体"/>
                <w:kern w:val="0"/>
                <w:sz w:val="24"/>
              </w:rPr>
              <w:t>分。</w:t>
            </w:r>
          </w:p>
        </w:tc>
        <w:tc>
          <w:tcPr>
            <w:tcW w:w="580" w:type="dxa"/>
            <w:tcBorders>
              <w:top w:val="nil"/>
              <w:left w:val="nil"/>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6</w:t>
            </w: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完成</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及时率</w:t>
            </w:r>
          </w:p>
        </w:tc>
        <w:tc>
          <w:tcPr>
            <w:tcW w:w="525"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7</w:t>
            </w:r>
          </w:p>
        </w:tc>
        <w:tc>
          <w:tcPr>
            <w:tcW w:w="276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80" w:lineRule="exact"/>
              <w:jc w:val="left"/>
              <w:rPr>
                <w:rFonts w:ascii="仿宋_GB2312" w:hAnsi="??" w:eastAsia="仿宋_GB2312" w:cs="宋体"/>
                <w:kern w:val="0"/>
                <w:sz w:val="24"/>
              </w:rPr>
            </w:pPr>
            <w:r>
              <w:rPr>
                <w:rFonts w:hint="eastAsia" w:ascii="仿宋_GB2312" w:hAnsi="??" w:eastAsia="仿宋_GB2312" w:cs="宋体"/>
                <w:kern w:val="0"/>
                <w:sz w:val="24"/>
              </w:rPr>
              <w:t>项目实际提前完成时间与计划完成时间的比率，用以反映和考核项目产出时效目标的实现程度。</w:t>
            </w:r>
          </w:p>
        </w:tc>
        <w:tc>
          <w:tcPr>
            <w:tcW w:w="41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380" w:lineRule="exact"/>
              <w:jc w:val="left"/>
              <w:rPr>
                <w:rFonts w:ascii="仿宋_GB2312" w:hAnsi="??" w:eastAsia="仿宋_GB2312" w:cs="宋体"/>
                <w:kern w:val="0"/>
                <w:sz w:val="24"/>
              </w:rPr>
            </w:pPr>
            <w:r>
              <w:rPr>
                <w:rFonts w:hint="eastAsia" w:ascii="仿宋_GB2312" w:hAnsi="??" w:eastAsia="仿宋_GB2312" w:cs="宋体"/>
                <w:kern w:val="0"/>
                <w:sz w:val="24"/>
              </w:rPr>
              <w:t>完成及时率</w:t>
            </w:r>
            <w:r>
              <w:rPr>
                <w:rFonts w:ascii="仿宋_GB2312" w:hAnsi="??" w:eastAsia="仿宋_GB2312" w:cs="宋体"/>
                <w:kern w:val="0"/>
                <w:sz w:val="24"/>
              </w:rPr>
              <w:t>=[</w:t>
            </w:r>
            <w:r>
              <w:rPr>
                <w:rFonts w:hint="eastAsia" w:ascii="仿宋_GB2312" w:hAnsi="??" w:eastAsia="仿宋_GB2312" w:cs="宋体"/>
                <w:kern w:val="0"/>
                <w:sz w:val="24"/>
              </w:rPr>
              <w:t>（计划完成时间</w:t>
            </w:r>
            <w:r>
              <w:rPr>
                <w:rFonts w:ascii="仿宋_GB2312" w:hAnsi="??" w:eastAsia="仿宋_GB2312" w:cs="宋体"/>
                <w:kern w:val="0"/>
                <w:sz w:val="24"/>
              </w:rPr>
              <w:t>-</w:t>
            </w:r>
            <w:r>
              <w:rPr>
                <w:rFonts w:hint="eastAsia" w:ascii="仿宋_GB2312" w:hAnsi="??" w:eastAsia="仿宋_GB2312" w:cs="宋体"/>
                <w:kern w:val="0"/>
                <w:sz w:val="24"/>
              </w:rPr>
              <w:t>实际完成时间）</w:t>
            </w:r>
            <w:r>
              <w:rPr>
                <w:rFonts w:ascii="仿宋_GB2312" w:hAnsi="??" w:eastAsia="仿宋_GB2312" w:cs="宋体"/>
                <w:kern w:val="0"/>
                <w:sz w:val="24"/>
              </w:rPr>
              <w:t>/</w:t>
            </w:r>
            <w:r>
              <w:rPr>
                <w:rFonts w:hint="eastAsia" w:ascii="仿宋_GB2312" w:hAnsi="??" w:eastAsia="仿宋_GB2312" w:cs="宋体"/>
                <w:kern w:val="0"/>
                <w:sz w:val="24"/>
              </w:rPr>
              <w:t>计划完成时间</w:t>
            </w:r>
            <w:r>
              <w:rPr>
                <w:rFonts w:ascii="仿宋_GB2312" w:hAnsi="??" w:eastAsia="仿宋_GB2312" w:cs="宋体"/>
                <w:kern w:val="0"/>
                <w:sz w:val="24"/>
              </w:rPr>
              <w:t>]</w:t>
            </w:r>
            <w:r>
              <w:rPr>
                <w:rFonts w:hint="eastAsia" w:ascii="仿宋_GB2312" w:hAnsi="??" w:eastAsia="仿宋_GB2312" w:cs="宋体"/>
                <w:kern w:val="0"/>
                <w:sz w:val="24"/>
              </w:rPr>
              <w:t>×</w:t>
            </w:r>
            <w:r>
              <w:rPr>
                <w:rFonts w:ascii="仿宋_GB2312" w:hAnsi="??" w:eastAsia="仿宋_GB2312" w:cs="宋体"/>
                <w:kern w:val="0"/>
                <w:sz w:val="24"/>
              </w:rPr>
              <w:t>100%</w:t>
            </w:r>
            <w:r>
              <w:rPr>
                <w:rFonts w:hint="eastAsia" w:ascii="仿宋_GB2312" w:hAnsi="??" w:eastAsia="仿宋_GB2312" w:cs="宋体"/>
                <w:kern w:val="0"/>
                <w:sz w:val="24"/>
              </w:rPr>
              <w:t>。</w:t>
            </w:r>
          </w:p>
          <w:p>
            <w:pPr>
              <w:widowControl/>
              <w:spacing w:line="380" w:lineRule="exact"/>
              <w:jc w:val="left"/>
              <w:rPr>
                <w:rFonts w:ascii="仿宋_GB2312" w:hAnsi="??" w:eastAsia="仿宋_GB2312" w:cs="宋体"/>
                <w:kern w:val="0"/>
                <w:sz w:val="24"/>
              </w:rPr>
            </w:pPr>
            <w:r>
              <w:rPr>
                <w:rFonts w:hint="eastAsia" w:ascii="仿宋_GB2312" w:hAnsi="??" w:eastAsia="仿宋_GB2312" w:cs="宋体"/>
                <w:kern w:val="0"/>
                <w:sz w:val="24"/>
              </w:rPr>
              <w:t>实际完成时间：项目单位完成该项目实际所耗用的时间。</w:t>
            </w:r>
          </w:p>
          <w:p>
            <w:pPr>
              <w:widowControl/>
              <w:spacing w:line="380" w:lineRule="exact"/>
              <w:jc w:val="left"/>
              <w:rPr>
                <w:rFonts w:ascii="仿宋_GB2312" w:hAnsi="??" w:eastAsia="仿宋_GB2312" w:cs="宋体"/>
                <w:kern w:val="0"/>
                <w:sz w:val="24"/>
              </w:rPr>
            </w:pPr>
            <w:r>
              <w:rPr>
                <w:rFonts w:hint="eastAsia" w:ascii="仿宋_GB2312" w:hAnsi="??" w:eastAsia="仿宋_GB2312" w:cs="宋体"/>
                <w:kern w:val="0"/>
                <w:sz w:val="24"/>
              </w:rPr>
              <w:t>计划完成时间：按照项目实施计划或相关规定完成该项目所需的时间。</w:t>
            </w:r>
          </w:p>
        </w:tc>
        <w:tc>
          <w:tcPr>
            <w:tcW w:w="375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工程建设的工作质量符合要求得</w:t>
            </w:r>
            <w:r>
              <w:rPr>
                <w:rFonts w:ascii="仿宋_GB2312" w:hAnsi="??" w:eastAsia="仿宋_GB2312" w:cs="宋体"/>
                <w:kern w:val="0"/>
                <w:sz w:val="24"/>
              </w:rPr>
              <w:t>7</w:t>
            </w:r>
            <w:r>
              <w:rPr>
                <w:rFonts w:hint="eastAsia" w:ascii="仿宋_GB2312" w:hAnsi="??" w:eastAsia="仿宋_GB2312" w:cs="宋体"/>
                <w:kern w:val="0"/>
                <w:sz w:val="24"/>
              </w:rPr>
              <w:t>分，不符合要求扣</w:t>
            </w:r>
            <w:r>
              <w:rPr>
                <w:rFonts w:ascii="仿宋_GB2312" w:hAnsi="??" w:eastAsia="仿宋_GB2312" w:cs="宋体"/>
                <w:kern w:val="0"/>
                <w:sz w:val="24"/>
              </w:rPr>
              <w:t>1-7</w:t>
            </w:r>
            <w:r>
              <w:rPr>
                <w:rFonts w:hint="eastAsia" w:ascii="仿宋_GB2312" w:hAnsi="??" w:eastAsia="仿宋_GB2312" w:cs="宋体"/>
                <w:kern w:val="0"/>
                <w:sz w:val="24"/>
              </w:rPr>
              <w:t>分</w:t>
            </w:r>
            <w:r>
              <w:rPr>
                <w:rFonts w:ascii="仿宋_GB2312" w:hAnsi="??" w:eastAsia="仿宋_GB2312" w:cs="宋体"/>
                <w:kern w:val="0"/>
                <w:sz w:val="24"/>
              </w:rPr>
              <w:t>.</w:t>
            </w:r>
          </w:p>
        </w:tc>
        <w:tc>
          <w:tcPr>
            <w:tcW w:w="58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ascii="仿宋_GB2312" w:hAnsi="宋体" w:eastAsia="仿宋_GB2312" w:cs="宋体"/>
                <w:kern w:val="0"/>
                <w:sz w:val="20"/>
              </w:rPr>
              <w:t>5</w:t>
            </w: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799"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质量</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达标率</w:t>
            </w:r>
          </w:p>
        </w:tc>
        <w:tc>
          <w:tcPr>
            <w:tcW w:w="525"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7</w:t>
            </w:r>
          </w:p>
        </w:tc>
        <w:tc>
          <w:tcPr>
            <w:tcW w:w="276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项目完成的质量达标产出数与实际产出数的比率，用以反映和考核项目产出质量目标的实现程度。</w:t>
            </w:r>
          </w:p>
        </w:tc>
        <w:tc>
          <w:tcPr>
            <w:tcW w:w="41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质量达标率</w:t>
            </w:r>
            <w:r>
              <w:rPr>
                <w:rFonts w:ascii="仿宋_GB2312" w:hAnsi="??" w:eastAsia="仿宋_GB2312" w:cs="宋体"/>
                <w:kern w:val="0"/>
                <w:sz w:val="24"/>
              </w:rPr>
              <w:t>=</w:t>
            </w:r>
            <w:r>
              <w:rPr>
                <w:rFonts w:hint="eastAsia" w:ascii="仿宋_GB2312" w:hAnsi="??" w:eastAsia="仿宋_GB2312" w:cs="宋体"/>
                <w:kern w:val="0"/>
                <w:sz w:val="24"/>
              </w:rPr>
              <w:t>（质量达标产出数</w:t>
            </w:r>
            <w:r>
              <w:rPr>
                <w:rFonts w:ascii="仿宋_GB2312" w:hAnsi="??" w:eastAsia="仿宋_GB2312" w:cs="宋体"/>
                <w:kern w:val="0"/>
                <w:sz w:val="24"/>
              </w:rPr>
              <w:t>/</w:t>
            </w:r>
            <w:r>
              <w:rPr>
                <w:rFonts w:hint="eastAsia" w:ascii="仿宋_GB2312" w:hAnsi="??" w:eastAsia="仿宋_GB2312" w:cs="宋体"/>
                <w:kern w:val="0"/>
                <w:sz w:val="24"/>
              </w:rPr>
              <w:t>实际产出数）×</w:t>
            </w:r>
            <w:r>
              <w:rPr>
                <w:rFonts w:ascii="仿宋_GB2312" w:hAnsi="??" w:eastAsia="仿宋_GB2312" w:cs="宋体"/>
                <w:kern w:val="0"/>
                <w:sz w:val="24"/>
              </w:rPr>
              <w:t>100%</w:t>
            </w:r>
            <w:r>
              <w:rPr>
                <w:rFonts w:hint="eastAsia" w:ascii="仿宋_GB2312" w:hAnsi="??" w:eastAsia="仿宋_GB2312" w:cs="宋体"/>
                <w:kern w:val="0"/>
                <w:sz w:val="24"/>
              </w:rPr>
              <w:t>。</w:t>
            </w:r>
          </w:p>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质量达标产出数：本年度内实际达到既定质量标准的产品或服务数量。</w:t>
            </w:r>
          </w:p>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既定质量标准是指项目单位设立绩效目标时依据计划标准、行业标准、历史标准或其他标准而设定的绩效指标值。</w:t>
            </w:r>
          </w:p>
        </w:tc>
        <w:tc>
          <w:tcPr>
            <w:tcW w:w="375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项目完工进行了质量工程验收，有工程验收报告或者结算</w:t>
            </w:r>
            <w:r>
              <w:rPr>
                <w:rFonts w:ascii="仿宋_GB2312" w:hAnsi="??" w:eastAsia="仿宋_GB2312" w:cs="宋体"/>
                <w:kern w:val="0"/>
                <w:sz w:val="24"/>
              </w:rPr>
              <w:t>资料得7</w:t>
            </w:r>
            <w:r>
              <w:rPr>
                <w:rFonts w:hint="eastAsia" w:ascii="仿宋_GB2312" w:hAnsi="??" w:eastAsia="仿宋_GB2312" w:cs="宋体"/>
                <w:kern w:val="0"/>
                <w:sz w:val="24"/>
              </w:rPr>
              <w:t>分，否则扣</w:t>
            </w:r>
            <w:r>
              <w:rPr>
                <w:rFonts w:ascii="仿宋_GB2312" w:hAnsi="??" w:eastAsia="仿宋_GB2312" w:cs="宋体"/>
                <w:kern w:val="0"/>
                <w:sz w:val="24"/>
              </w:rPr>
              <w:t>1-7</w:t>
            </w:r>
            <w:r>
              <w:rPr>
                <w:rFonts w:hint="eastAsia" w:ascii="仿宋_GB2312" w:hAnsi="??" w:eastAsia="仿宋_GB2312" w:cs="宋体"/>
                <w:kern w:val="0"/>
                <w:sz w:val="24"/>
              </w:rPr>
              <w:t>分。</w:t>
            </w:r>
          </w:p>
        </w:tc>
        <w:tc>
          <w:tcPr>
            <w:tcW w:w="58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7</w:t>
            </w:r>
          </w:p>
        </w:tc>
      </w:tr>
      <w:tr>
        <w:tblPrEx>
          <w:tblLayout w:type="fixed"/>
          <w:tblCellMar>
            <w:top w:w="0" w:type="dxa"/>
            <w:left w:w="108" w:type="dxa"/>
            <w:bottom w:w="0" w:type="dxa"/>
            <w:right w:w="108" w:type="dxa"/>
          </w:tblCellMar>
        </w:tblPrEx>
        <w:trPr>
          <w:trHeight w:val="150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57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成本</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节约率</w:t>
            </w:r>
          </w:p>
        </w:tc>
        <w:tc>
          <w:tcPr>
            <w:tcW w:w="525"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8</w:t>
            </w:r>
          </w:p>
        </w:tc>
        <w:tc>
          <w:tcPr>
            <w:tcW w:w="276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项目完成的质量达标产出数与实际产出数的比率，用以反映和考核项目产出质量目标的实现程度。</w:t>
            </w:r>
          </w:p>
        </w:tc>
        <w:tc>
          <w:tcPr>
            <w:tcW w:w="4104"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成本节约率</w:t>
            </w:r>
            <w:r>
              <w:rPr>
                <w:rFonts w:ascii="仿宋_GB2312" w:hAnsi="??" w:eastAsia="仿宋_GB2312" w:cs="宋体"/>
                <w:kern w:val="0"/>
                <w:sz w:val="24"/>
              </w:rPr>
              <w:t>=</w:t>
            </w:r>
            <w:r>
              <w:rPr>
                <w:rFonts w:hint="eastAsia" w:ascii="仿宋_GB2312" w:hAnsi="??" w:eastAsia="仿宋_GB2312" w:cs="宋体"/>
                <w:kern w:val="0"/>
                <w:sz w:val="24"/>
              </w:rPr>
              <w:t>（计划成本</w:t>
            </w:r>
            <w:r>
              <w:rPr>
                <w:rFonts w:ascii="仿宋_GB2312" w:hAnsi="??" w:eastAsia="仿宋_GB2312" w:cs="宋体"/>
                <w:kern w:val="0"/>
                <w:sz w:val="24"/>
              </w:rPr>
              <w:t>/</w:t>
            </w:r>
            <w:r>
              <w:rPr>
                <w:rFonts w:hint="eastAsia" w:ascii="仿宋_GB2312" w:hAnsi="??" w:eastAsia="仿宋_GB2312" w:cs="宋体"/>
                <w:kern w:val="0"/>
                <w:sz w:val="24"/>
              </w:rPr>
              <w:t>实际成本）</w:t>
            </w:r>
            <w:r>
              <w:rPr>
                <w:rFonts w:ascii="仿宋_GB2312" w:hAnsi="??" w:eastAsia="仿宋_GB2312" w:cs="宋体"/>
                <w:kern w:val="0"/>
                <w:sz w:val="24"/>
              </w:rPr>
              <w:t>/</w:t>
            </w:r>
            <w:r>
              <w:rPr>
                <w:rFonts w:hint="eastAsia" w:ascii="仿宋_GB2312" w:hAnsi="??" w:eastAsia="仿宋_GB2312" w:cs="宋体"/>
                <w:kern w:val="0"/>
                <w:sz w:val="24"/>
              </w:rPr>
              <w:t>计划成本×</w:t>
            </w:r>
            <w:r>
              <w:rPr>
                <w:rFonts w:ascii="仿宋_GB2312" w:hAnsi="??" w:eastAsia="仿宋_GB2312" w:cs="宋体"/>
                <w:kern w:val="0"/>
                <w:sz w:val="24"/>
              </w:rPr>
              <w:t>100%</w:t>
            </w:r>
            <w:r>
              <w:rPr>
                <w:rFonts w:hint="eastAsia" w:ascii="仿宋_GB2312" w:hAnsi="??" w:eastAsia="仿宋_GB2312" w:cs="宋体"/>
                <w:kern w:val="0"/>
                <w:sz w:val="24"/>
              </w:rPr>
              <w:t>。</w:t>
            </w:r>
          </w:p>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实际成本：项目实施单位如期、保质、保量完成既定工作目标实际所耗的支出。</w:t>
            </w:r>
            <w:r>
              <w:rPr>
                <w:rFonts w:ascii="仿宋_GB2312" w:hAnsi="??" w:eastAsia="仿宋_GB2312" w:cs="宋体"/>
                <w:kern w:val="0"/>
                <w:sz w:val="24"/>
              </w:rPr>
              <w:br w:type="textWrapping"/>
            </w:r>
            <w:r>
              <w:rPr>
                <w:rFonts w:hint="eastAsia" w:ascii="仿宋_GB2312" w:hAnsi="??" w:eastAsia="仿宋_GB2312" w:cs="宋体"/>
                <w:kern w:val="0"/>
                <w:sz w:val="24"/>
              </w:rPr>
              <w:t>计划成本：项目实施单位为完成工作目标计划安排的的支出。一般以项目预算为参考。</w:t>
            </w:r>
          </w:p>
        </w:tc>
        <w:tc>
          <w:tcPr>
            <w:tcW w:w="3754" w:type="dxa"/>
            <w:vMerge w:val="restart"/>
            <w:tcBorders>
              <w:top w:val="nil"/>
              <w:left w:val="single" w:color="auto" w:sz="4" w:space="0"/>
              <w:bottom w:val="single" w:color="auto" w:sz="4" w:space="0"/>
              <w:right w:val="single" w:color="auto" w:sz="4" w:space="0"/>
            </w:tcBorders>
            <w:shd w:val="clear" w:color="auto" w:fill="FFFFFF"/>
          </w:tcPr>
          <w:p>
            <w:pPr>
              <w:widowControl/>
              <w:spacing w:line="400" w:lineRule="exact"/>
              <w:jc w:val="left"/>
              <w:rPr>
                <w:rFonts w:ascii="仿宋_GB2312" w:hAnsi="??" w:eastAsia="仿宋_GB2312" w:cs="宋体"/>
                <w:kern w:val="0"/>
                <w:sz w:val="24"/>
              </w:rPr>
            </w:pPr>
            <w:r>
              <w:rPr>
                <w:rFonts w:ascii="仿宋_GB2312" w:hAnsi="??" w:eastAsia="仿宋_GB2312" w:cs="宋体"/>
                <w:kern w:val="0"/>
                <w:sz w:val="24"/>
              </w:rPr>
              <w:t>A=</w:t>
            </w:r>
            <w:r>
              <w:rPr>
                <w:rFonts w:hint="eastAsia" w:ascii="仿宋_GB2312" w:hAnsi="??" w:eastAsia="仿宋_GB2312" w:cs="宋体"/>
                <w:kern w:val="0"/>
                <w:sz w:val="24"/>
              </w:rPr>
              <w:t>（项目完成总投资</w:t>
            </w:r>
            <w:r>
              <w:rPr>
                <w:rFonts w:ascii="仿宋_GB2312" w:hAnsi="??" w:eastAsia="仿宋_GB2312" w:cs="宋体"/>
                <w:kern w:val="0"/>
                <w:sz w:val="24"/>
              </w:rPr>
              <w:t>-</w:t>
            </w:r>
            <w:r>
              <w:rPr>
                <w:rFonts w:hint="eastAsia" w:ascii="仿宋_GB2312" w:hAnsi="??" w:eastAsia="仿宋_GB2312" w:cs="宋体"/>
                <w:kern w:val="0"/>
                <w:sz w:val="24"/>
              </w:rPr>
              <w:t>批准概算总投资）</w:t>
            </w:r>
            <w:r>
              <w:rPr>
                <w:rFonts w:ascii="仿宋_GB2312" w:hAnsi="??" w:eastAsia="仿宋_GB2312" w:cs="宋体"/>
                <w:kern w:val="0"/>
                <w:sz w:val="24"/>
              </w:rPr>
              <w:t>/</w:t>
            </w:r>
            <w:r>
              <w:rPr>
                <w:rFonts w:hint="eastAsia" w:ascii="仿宋_GB2312" w:hAnsi="??" w:eastAsia="仿宋_GB2312" w:cs="宋体"/>
                <w:kern w:val="0"/>
                <w:sz w:val="24"/>
              </w:rPr>
              <w:t>批准概算总投资×</w:t>
            </w:r>
            <w:r>
              <w:rPr>
                <w:rFonts w:ascii="仿宋_GB2312" w:hAnsi="??" w:eastAsia="仿宋_GB2312" w:cs="宋体"/>
                <w:kern w:val="0"/>
                <w:sz w:val="24"/>
              </w:rPr>
              <w:t>100</w:t>
            </w:r>
            <w:r>
              <w:rPr>
                <w:rFonts w:hint="eastAsia" w:ascii="仿宋_GB2312" w:hAnsi="??" w:eastAsia="仿宋_GB2312" w:cs="宋体"/>
                <w:kern w:val="0"/>
                <w:sz w:val="24"/>
              </w:rPr>
              <w:t>％</w:t>
            </w:r>
          </w:p>
          <w:p>
            <w:pPr>
              <w:widowControl/>
              <w:spacing w:line="400" w:lineRule="exact"/>
              <w:jc w:val="left"/>
              <w:rPr>
                <w:rFonts w:ascii="仿宋_GB2312" w:hAnsi="??" w:eastAsia="仿宋_GB2312" w:cs="宋体"/>
                <w:kern w:val="0"/>
                <w:sz w:val="24"/>
              </w:rPr>
            </w:pPr>
            <w:r>
              <w:rPr>
                <w:rFonts w:ascii="仿宋_GB2312" w:hAnsi="??" w:eastAsia="仿宋_GB2312" w:cs="宋体"/>
                <w:kern w:val="0"/>
                <w:sz w:val="24"/>
              </w:rPr>
              <w:t>1</w:t>
            </w:r>
            <w:r>
              <w:rPr>
                <w:rFonts w:hint="eastAsia" w:ascii="仿宋_GB2312" w:hAnsi="??" w:eastAsia="仿宋_GB2312" w:cs="宋体"/>
                <w:kern w:val="0"/>
                <w:sz w:val="24"/>
              </w:rPr>
              <w:t>、</w:t>
            </w:r>
            <w:r>
              <w:rPr>
                <w:rFonts w:ascii="仿宋_GB2312" w:hAnsi="??" w:eastAsia="仿宋_GB2312" w:cs="宋体"/>
                <w:kern w:val="0"/>
                <w:sz w:val="24"/>
              </w:rPr>
              <w:t>-5</w:t>
            </w:r>
            <w:r>
              <w:rPr>
                <w:rFonts w:hint="eastAsia" w:ascii="仿宋_GB2312" w:hAnsi="??" w:eastAsia="仿宋_GB2312" w:cs="宋体"/>
                <w:kern w:val="0"/>
                <w:sz w:val="24"/>
              </w:rPr>
              <w:t>％≤</w:t>
            </w:r>
            <w:r>
              <w:rPr>
                <w:rFonts w:ascii="仿宋_GB2312" w:hAnsi="??" w:eastAsia="仿宋_GB2312" w:cs="宋体"/>
                <w:kern w:val="0"/>
                <w:sz w:val="24"/>
              </w:rPr>
              <w:t>A</w:t>
            </w:r>
            <w:r>
              <w:rPr>
                <w:rFonts w:hint="eastAsia" w:ascii="仿宋_GB2312" w:hAnsi="??" w:eastAsia="仿宋_GB2312" w:cs="宋体"/>
                <w:kern w:val="0"/>
                <w:sz w:val="24"/>
              </w:rPr>
              <w:t>≤</w:t>
            </w:r>
            <w:r>
              <w:rPr>
                <w:rFonts w:ascii="仿宋_GB2312" w:hAnsi="??" w:eastAsia="仿宋_GB2312" w:cs="宋体"/>
                <w:kern w:val="0"/>
                <w:sz w:val="24"/>
              </w:rPr>
              <w:t>5</w:t>
            </w:r>
            <w:r>
              <w:rPr>
                <w:rFonts w:hint="eastAsia" w:ascii="仿宋_GB2312" w:hAnsi="??" w:eastAsia="仿宋_GB2312" w:cs="宋体"/>
                <w:kern w:val="0"/>
                <w:sz w:val="24"/>
              </w:rPr>
              <w:t>％得</w:t>
            </w:r>
            <w:r>
              <w:rPr>
                <w:rFonts w:ascii="仿宋_GB2312" w:hAnsi="??" w:eastAsia="仿宋_GB2312" w:cs="宋体"/>
                <w:kern w:val="0"/>
                <w:sz w:val="24"/>
              </w:rPr>
              <w:t>8</w:t>
            </w:r>
            <w:r>
              <w:rPr>
                <w:rFonts w:hint="eastAsia" w:ascii="仿宋_GB2312" w:hAnsi="??" w:eastAsia="仿宋_GB2312" w:cs="宋体"/>
                <w:kern w:val="0"/>
                <w:sz w:val="24"/>
              </w:rPr>
              <w:t>分</w:t>
            </w:r>
          </w:p>
          <w:p>
            <w:pPr>
              <w:widowControl/>
              <w:spacing w:line="400" w:lineRule="exact"/>
              <w:jc w:val="left"/>
              <w:rPr>
                <w:rFonts w:ascii="仿宋_GB2312" w:hAnsi="??" w:eastAsia="仿宋_GB2312" w:cs="宋体"/>
                <w:w w:val="90"/>
                <w:kern w:val="0"/>
                <w:sz w:val="24"/>
              </w:rPr>
            </w:pPr>
            <w:r>
              <w:rPr>
                <w:rFonts w:ascii="仿宋_GB2312" w:hAnsi="??" w:eastAsia="仿宋_GB2312" w:cs="宋体"/>
                <w:kern w:val="0"/>
                <w:sz w:val="24"/>
              </w:rPr>
              <w:t>2</w:t>
            </w:r>
            <w:r>
              <w:rPr>
                <w:rFonts w:hint="eastAsia" w:ascii="仿宋_GB2312" w:hAnsi="??" w:eastAsia="仿宋_GB2312" w:cs="宋体"/>
                <w:kern w:val="0"/>
                <w:sz w:val="24"/>
              </w:rPr>
              <w:t>、</w:t>
            </w:r>
            <w:r>
              <w:rPr>
                <w:rFonts w:ascii="仿宋_GB2312" w:hAnsi="??" w:eastAsia="仿宋_GB2312" w:cs="宋体"/>
                <w:w w:val="90"/>
                <w:kern w:val="0"/>
                <w:sz w:val="24"/>
              </w:rPr>
              <w:t>5</w:t>
            </w:r>
            <w:r>
              <w:rPr>
                <w:rFonts w:hint="eastAsia" w:ascii="仿宋_GB2312" w:hAnsi="??" w:eastAsia="仿宋_GB2312" w:cs="宋体"/>
                <w:w w:val="90"/>
                <w:kern w:val="0"/>
                <w:sz w:val="24"/>
              </w:rPr>
              <w:t>％＜</w:t>
            </w:r>
            <w:r>
              <w:rPr>
                <w:rFonts w:ascii="仿宋_GB2312" w:hAnsi="??" w:eastAsia="仿宋_GB2312" w:cs="宋体"/>
                <w:w w:val="90"/>
                <w:kern w:val="0"/>
                <w:sz w:val="24"/>
              </w:rPr>
              <w:t>A</w:t>
            </w:r>
            <w:r>
              <w:rPr>
                <w:rFonts w:hint="eastAsia" w:ascii="仿宋_GB2312" w:hAnsi="??" w:eastAsia="仿宋_GB2312" w:cs="宋体"/>
                <w:w w:val="90"/>
                <w:kern w:val="0"/>
                <w:sz w:val="24"/>
              </w:rPr>
              <w:t>≤</w:t>
            </w:r>
            <w:r>
              <w:rPr>
                <w:rFonts w:ascii="仿宋_GB2312" w:hAnsi="??" w:eastAsia="仿宋_GB2312" w:cs="宋体"/>
                <w:w w:val="90"/>
                <w:kern w:val="0"/>
                <w:sz w:val="24"/>
              </w:rPr>
              <w:t>10</w:t>
            </w:r>
            <w:r>
              <w:rPr>
                <w:rFonts w:hint="eastAsia" w:ascii="仿宋_GB2312" w:hAnsi="??" w:eastAsia="仿宋_GB2312" w:cs="宋体"/>
                <w:w w:val="90"/>
                <w:kern w:val="0"/>
                <w:sz w:val="24"/>
              </w:rPr>
              <w:t>％或</w:t>
            </w:r>
            <w:r>
              <w:rPr>
                <w:rFonts w:ascii="仿宋_GB2312" w:hAnsi="??" w:eastAsia="仿宋_GB2312" w:cs="宋体"/>
                <w:w w:val="90"/>
                <w:kern w:val="0"/>
                <w:sz w:val="24"/>
              </w:rPr>
              <w:t>-10</w:t>
            </w:r>
            <w:r>
              <w:rPr>
                <w:rFonts w:hint="eastAsia" w:ascii="仿宋_GB2312" w:hAnsi="??" w:eastAsia="仿宋_GB2312" w:cs="宋体"/>
                <w:w w:val="90"/>
                <w:kern w:val="0"/>
                <w:sz w:val="24"/>
              </w:rPr>
              <w:t>％≤</w:t>
            </w:r>
            <w:r>
              <w:rPr>
                <w:rFonts w:ascii="仿宋_GB2312" w:hAnsi="??" w:eastAsia="仿宋_GB2312" w:cs="宋体"/>
                <w:w w:val="90"/>
                <w:kern w:val="0"/>
                <w:sz w:val="24"/>
              </w:rPr>
              <w:t>A</w:t>
            </w:r>
            <w:r>
              <w:rPr>
                <w:rFonts w:hint="eastAsia" w:ascii="仿宋_GB2312" w:hAnsi="??" w:eastAsia="仿宋_GB2312" w:cs="宋体"/>
                <w:w w:val="90"/>
                <w:kern w:val="0"/>
                <w:sz w:val="24"/>
              </w:rPr>
              <w:t>＜</w:t>
            </w:r>
            <w:r>
              <w:rPr>
                <w:rFonts w:ascii="仿宋_GB2312" w:hAnsi="??" w:eastAsia="仿宋_GB2312" w:cs="宋体"/>
                <w:w w:val="90"/>
                <w:kern w:val="0"/>
                <w:sz w:val="24"/>
              </w:rPr>
              <w:t>-5</w:t>
            </w:r>
            <w:r>
              <w:rPr>
                <w:rFonts w:hint="eastAsia" w:ascii="仿宋_GB2312" w:hAnsi="??" w:eastAsia="仿宋_GB2312" w:cs="宋体"/>
                <w:w w:val="90"/>
                <w:kern w:val="0"/>
                <w:sz w:val="24"/>
              </w:rPr>
              <w:t>％得</w:t>
            </w:r>
            <w:r>
              <w:rPr>
                <w:rFonts w:ascii="仿宋_GB2312" w:hAnsi="??" w:eastAsia="仿宋_GB2312" w:cs="宋体"/>
                <w:w w:val="90"/>
                <w:kern w:val="0"/>
                <w:sz w:val="24"/>
              </w:rPr>
              <w:t>5</w:t>
            </w:r>
            <w:r>
              <w:rPr>
                <w:rFonts w:hint="eastAsia" w:ascii="仿宋_GB2312" w:hAnsi="??" w:eastAsia="仿宋_GB2312" w:cs="宋体"/>
                <w:w w:val="90"/>
                <w:kern w:val="0"/>
                <w:sz w:val="24"/>
              </w:rPr>
              <w:t>分</w:t>
            </w:r>
          </w:p>
          <w:p>
            <w:pPr>
              <w:widowControl/>
              <w:spacing w:line="400" w:lineRule="exact"/>
              <w:jc w:val="left"/>
              <w:rPr>
                <w:rFonts w:ascii="仿宋_GB2312" w:hAnsi="??" w:eastAsia="仿宋_GB2312" w:cs="宋体"/>
                <w:w w:val="80"/>
                <w:kern w:val="0"/>
                <w:sz w:val="24"/>
              </w:rPr>
            </w:pPr>
            <w:r>
              <w:rPr>
                <w:rFonts w:ascii="仿宋_GB2312" w:hAnsi="??" w:eastAsia="仿宋_GB2312" w:cs="宋体"/>
                <w:w w:val="80"/>
                <w:kern w:val="0"/>
                <w:sz w:val="24"/>
              </w:rPr>
              <w:t>3</w:t>
            </w:r>
            <w:r>
              <w:rPr>
                <w:rFonts w:hint="eastAsia" w:ascii="仿宋_GB2312" w:hAnsi="??" w:eastAsia="仿宋_GB2312" w:cs="宋体"/>
                <w:w w:val="80"/>
                <w:kern w:val="0"/>
                <w:sz w:val="24"/>
              </w:rPr>
              <w:t>、</w:t>
            </w:r>
            <w:r>
              <w:rPr>
                <w:rFonts w:ascii="仿宋_GB2312" w:hAnsi="??" w:eastAsia="仿宋_GB2312" w:cs="宋体"/>
                <w:w w:val="80"/>
                <w:kern w:val="0"/>
                <w:sz w:val="24"/>
              </w:rPr>
              <w:t>10</w:t>
            </w:r>
            <w:r>
              <w:rPr>
                <w:rFonts w:hint="eastAsia" w:ascii="仿宋_GB2312" w:hAnsi="??" w:eastAsia="仿宋_GB2312" w:cs="宋体"/>
                <w:w w:val="80"/>
                <w:kern w:val="0"/>
                <w:sz w:val="24"/>
              </w:rPr>
              <w:t>％＜</w:t>
            </w:r>
            <w:r>
              <w:rPr>
                <w:rFonts w:ascii="仿宋_GB2312" w:hAnsi="??" w:eastAsia="仿宋_GB2312" w:cs="宋体"/>
                <w:w w:val="80"/>
                <w:kern w:val="0"/>
                <w:sz w:val="24"/>
              </w:rPr>
              <w:t>A</w:t>
            </w:r>
            <w:r>
              <w:rPr>
                <w:rFonts w:hint="eastAsia" w:ascii="仿宋_GB2312" w:hAnsi="??" w:eastAsia="仿宋_GB2312" w:cs="宋体"/>
                <w:w w:val="80"/>
                <w:kern w:val="0"/>
                <w:sz w:val="24"/>
              </w:rPr>
              <w:t>≤</w:t>
            </w:r>
            <w:r>
              <w:rPr>
                <w:rFonts w:ascii="仿宋_GB2312" w:hAnsi="??" w:eastAsia="仿宋_GB2312" w:cs="宋体"/>
                <w:w w:val="80"/>
                <w:kern w:val="0"/>
                <w:sz w:val="24"/>
              </w:rPr>
              <w:t>20</w:t>
            </w:r>
            <w:r>
              <w:rPr>
                <w:rFonts w:hint="eastAsia" w:ascii="仿宋_GB2312" w:hAnsi="??" w:eastAsia="仿宋_GB2312" w:cs="宋体"/>
                <w:w w:val="80"/>
                <w:kern w:val="0"/>
                <w:sz w:val="24"/>
              </w:rPr>
              <w:t>％或</w:t>
            </w:r>
            <w:r>
              <w:rPr>
                <w:rFonts w:ascii="仿宋_GB2312" w:hAnsi="??" w:eastAsia="仿宋_GB2312" w:cs="宋体"/>
                <w:w w:val="80"/>
                <w:kern w:val="0"/>
                <w:sz w:val="24"/>
              </w:rPr>
              <w:t>-20</w:t>
            </w:r>
            <w:r>
              <w:rPr>
                <w:rFonts w:hint="eastAsia" w:ascii="仿宋_GB2312" w:hAnsi="??" w:eastAsia="仿宋_GB2312" w:cs="宋体"/>
                <w:w w:val="80"/>
                <w:kern w:val="0"/>
                <w:sz w:val="24"/>
              </w:rPr>
              <w:t>％≤</w:t>
            </w:r>
            <w:r>
              <w:rPr>
                <w:rFonts w:ascii="仿宋_GB2312" w:hAnsi="??" w:eastAsia="仿宋_GB2312" w:cs="宋体"/>
                <w:w w:val="80"/>
                <w:kern w:val="0"/>
                <w:sz w:val="24"/>
              </w:rPr>
              <w:t>A</w:t>
            </w:r>
            <w:r>
              <w:rPr>
                <w:rFonts w:hint="eastAsia" w:ascii="仿宋_GB2312" w:hAnsi="??" w:eastAsia="仿宋_GB2312" w:cs="宋体"/>
                <w:w w:val="80"/>
                <w:kern w:val="0"/>
                <w:sz w:val="24"/>
              </w:rPr>
              <w:t>＜</w:t>
            </w:r>
            <w:r>
              <w:rPr>
                <w:rFonts w:ascii="仿宋_GB2312" w:hAnsi="??" w:eastAsia="仿宋_GB2312" w:cs="宋体"/>
                <w:w w:val="80"/>
                <w:kern w:val="0"/>
                <w:sz w:val="24"/>
              </w:rPr>
              <w:t>-10</w:t>
            </w:r>
            <w:r>
              <w:rPr>
                <w:rFonts w:hint="eastAsia" w:ascii="仿宋_GB2312" w:hAnsi="??" w:eastAsia="仿宋_GB2312" w:cs="宋体"/>
                <w:w w:val="80"/>
                <w:kern w:val="0"/>
                <w:sz w:val="24"/>
              </w:rPr>
              <w:t>％得</w:t>
            </w:r>
            <w:r>
              <w:rPr>
                <w:rFonts w:ascii="仿宋_GB2312" w:hAnsi="??" w:eastAsia="仿宋_GB2312" w:cs="宋体"/>
                <w:w w:val="80"/>
                <w:kern w:val="0"/>
                <w:sz w:val="24"/>
              </w:rPr>
              <w:t>3</w:t>
            </w:r>
            <w:r>
              <w:rPr>
                <w:rFonts w:hint="eastAsia" w:ascii="仿宋_GB2312" w:hAnsi="??" w:eastAsia="仿宋_GB2312" w:cs="宋体"/>
                <w:w w:val="80"/>
                <w:kern w:val="0"/>
                <w:sz w:val="24"/>
              </w:rPr>
              <w:t>分</w:t>
            </w:r>
          </w:p>
          <w:p>
            <w:pPr>
              <w:widowControl/>
              <w:spacing w:line="400" w:lineRule="exact"/>
              <w:jc w:val="left"/>
              <w:rPr>
                <w:rFonts w:ascii="仿宋_GB2312" w:hAnsi="??" w:eastAsia="仿宋_GB2312" w:cs="宋体"/>
                <w:kern w:val="0"/>
                <w:sz w:val="24"/>
              </w:rPr>
            </w:pPr>
            <w:r>
              <w:rPr>
                <w:rFonts w:ascii="仿宋_GB2312" w:hAnsi="??" w:eastAsia="仿宋_GB2312" w:cs="宋体"/>
                <w:kern w:val="0"/>
                <w:sz w:val="24"/>
              </w:rPr>
              <w:t>4</w:t>
            </w:r>
            <w:r>
              <w:rPr>
                <w:rFonts w:hint="eastAsia" w:ascii="仿宋_GB2312" w:hAnsi="??" w:eastAsia="仿宋_GB2312" w:cs="宋体"/>
                <w:kern w:val="0"/>
                <w:sz w:val="24"/>
              </w:rPr>
              <w:t>、</w:t>
            </w:r>
            <w:r>
              <w:rPr>
                <w:rFonts w:ascii="仿宋_GB2312" w:hAnsi="??" w:eastAsia="仿宋_GB2312" w:cs="宋体"/>
                <w:kern w:val="0"/>
                <w:sz w:val="24"/>
              </w:rPr>
              <w:t>A</w:t>
            </w:r>
            <w:r>
              <w:rPr>
                <w:rFonts w:hint="eastAsia" w:ascii="仿宋_GB2312" w:hAnsi="??" w:eastAsia="仿宋_GB2312" w:cs="宋体"/>
                <w:kern w:val="0"/>
                <w:sz w:val="24"/>
              </w:rPr>
              <w:t>＞</w:t>
            </w:r>
            <w:r>
              <w:rPr>
                <w:rFonts w:ascii="仿宋_GB2312" w:hAnsi="??" w:eastAsia="仿宋_GB2312" w:cs="宋体"/>
                <w:kern w:val="0"/>
                <w:sz w:val="24"/>
              </w:rPr>
              <w:t>20</w:t>
            </w:r>
            <w:r>
              <w:rPr>
                <w:rFonts w:hint="eastAsia" w:ascii="仿宋_GB2312" w:hAnsi="??" w:eastAsia="仿宋_GB2312" w:cs="宋体"/>
                <w:kern w:val="0"/>
                <w:sz w:val="24"/>
              </w:rPr>
              <w:t>％</w:t>
            </w:r>
            <w:r>
              <w:rPr>
                <w:rFonts w:ascii="仿宋_GB2312" w:hAnsi="??" w:eastAsia="仿宋_GB2312" w:cs="宋体"/>
                <w:kern w:val="0"/>
                <w:sz w:val="24"/>
              </w:rPr>
              <w:t xml:space="preserve">   A</w:t>
            </w:r>
            <w:r>
              <w:rPr>
                <w:rFonts w:hint="eastAsia" w:ascii="仿宋_GB2312" w:hAnsi="??" w:eastAsia="仿宋_GB2312" w:cs="宋体"/>
                <w:kern w:val="0"/>
                <w:sz w:val="24"/>
              </w:rPr>
              <w:t>＜</w:t>
            </w:r>
            <w:r>
              <w:rPr>
                <w:rFonts w:ascii="仿宋_GB2312" w:hAnsi="??" w:eastAsia="仿宋_GB2312" w:cs="宋体"/>
                <w:kern w:val="0"/>
                <w:sz w:val="24"/>
              </w:rPr>
              <w:t>-20</w:t>
            </w:r>
            <w:r>
              <w:rPr>
                <w:rFonts w:hint="eastAsia" w:ascii="仿宋_GB2312" w:hAnsi="??" w:eastAsia="仿宋_GB2312" w:cs="宋体"/>
                <w:kern w:val="0"/>
                <w:sz w:val="24"/>
              </w:rPr>
              <w:t>％得</w:t>
            </w:r>
            <w:r>
              <w:rPr>
                <w:rFonts w:ascii="仿宋_GB2312" w:hAnsi="??" w:eastAsia="仿宋_GB2312" w:cs="宋体"/>
                <w:kern w:val="0"/>
                <w:sz w:val="24"/>
              </w:rPr>
              <w:t>0</w:t>
            </w:r>
            <w:r>
              <w:rPr>
                <w:rFonts w:hint="eastAsia" w:ascii="仿宋_GB2312" w:hAnsi="??" w:eastAsia="仿宋_GB2312" w:cs="宋体"/>
                <w:kern w:val="0"/>
                <w:sz w:val="24"/>
              </w:rPr>
              <w:t>分</w:t>
            </w:r>
          </w:p>
        </w:tc>
        <w:tc>
          <w:tcPr>
            <w:tcW w:w="580"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8</w:t>
            </w:r>
          </w:p>
        </w:tc>
      </w:tr>
      <w:tr>
        <w:tblPrEx>
          <w:tblLayout w:type="fixed"/>
          <w:tblCellMar>
            <w:top w:w="0" w:type="dxa"/>
            <w:left w:w="108" w:type="dxa"/>
            <w:bottom w:w="0" w:type="dxa"/>
            <w:right w:w="108" w:type="dxa"/>
          </w:tblCellMar>
        </w:tblPrEx>
        <w:trPr>
          <w:trHeight w:val="1335"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8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525"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276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1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375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580"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center"/>
              <w:rPr>
                <w:rFonts w:ascii="仿宋_GB2312" w:hAnsi="宋体" w:eastAsia="仿宋_GB2312" w:cs="宋体"/>
                <w:kern w:val="0"/>
                <w:sz w:val="20"/>
              </w:rPr>
            </w:pPr>
          </w:p>
        </w:tc>
      </w:tr>
      <w:tr>
        <w:tblPrEx>
          <w:tblLayout w:type="fixed"/>
          <w:tblCellMar>
            <w:top w:w="0" w:type="dxa"/>
            <w:left w:w="108" w:type="dxa"/>
            <w:bottom w:w="0" w:type="dxa"/>
            <w:right w:w="108" w:type="dxa"/>
          </w:tblCellMar>
        </w:tblPrEx>
        <w:trPr>
          <w:trHeight w:val="78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项目效益</w:t>
            </w:r>
          </w:p>
        </w:tc>
        <w:tc>
          <w:tcPr>
            <w:tcW w:w="456" w:type="dxa"/>
            <w:vMerge w:val="restart"/>
            <w:tcBorders>
              <w:top w:val="nil"/>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highlight w:val="yellow"/>
              </w:rPr>
            </w:pPr>
            <w:r>
              <w:rPr>
                <w:rFonts w:ascii="仿宋_GB2312" w:hAnsi="??" w:eastAsia="仿宋_GB2312" w:cs="宋体"/>
                <w:kern w:val="0"/>
                <w:sz w:val="24"/>
              </w:rPr>
              <w:t>20</w:t>
            </w:r>
          </w:p>
        </w:tc>
        <w:tc>
          <w:tcPr>
            <w:tcW w:w="804"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社会</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效益</w:t>
            </w:r>
          </w:p>
        </w:tc>
        <w:tc>
          <w:tcPr>
            <w:tcW w:w="525"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highlight w:val="yellow"/>
              </w:rPr>
            </w:pPr>
            <w:r>
              <w:rPr>
                <w:rFonts w:ascii="仿宋_GB2312" w:hAnsi="??" w:eastAsia="仿宋_GB2312" w:cs="宋体"/>
                <w:kern w:val="0"/>
                <w:sz w:val="24"/>
              </w:rPr>
              <w:t>6</w:t>
            </w:r>
          </w:p>
        </w:tc>
        <w:tc>
          <w:tcPr>
            <w:tcW w:w="2766"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项目实施对社会发展所带来的直接或间接影响情况。</w:t>
            </w:r>
          </w:p>
        </w:tc>
        <w:tc>
          <w:tcPr>
            <w:tcW w:w="4104" w:type="dxa"/>
            <w:tcBorders>
              <w:top w:val="single" w:color="auto" w:sz="4" w:space="0"/>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1、</w:t>
            </w:r>
            <w:r>
              <w:rPr>
                <w:rFonts w:ascii="仿宋_GB2312" w:hAnsi="??" w:eastAsia="仿宋_GB2312" w:cs="宋体"/>
                <w:kern w:val="0"/>
                <w:sz w:val="24"/>
              </w:rPr>
              <w:t>完善后备人才培养体系</w:t>
            </w:r>
            <w:r>
              <w:rPr>
                <w:rFonts w:hint="eastAsia" w:ascii="仿宋_GB2312" w:hAnsi="??" w:eastAsia="仿宋_GB2312" w:cs="宋体"/>
                <w:kern w:val="0"/>
                <w:sz w:val="24"/>
              </w:rPr>
              <w:t>，</w:t>
            </w:r>
            <w:r>
              <w:rPr>
                <w:rFonts w:ascii="仿宋_GB2312" w:hAnsi="??" w:eastAsia="仿宋_GB2312" w:cs="宋体"/>
                <w:kern w:val="0"/>
                <w:sz w:val="24"/>
              </w:rPr>
              <w:t>进一步推进各级各类体校建设</w:t>
            </w:r>
            <w:r>
              <w:rPr>
                <w:rFonts w:hint="eastAsia" w:ascii="仿宋_GB2312" w:hAnsi="??" w:eastAsia="仿宋_GB2312" w:cs="宋体"/>
                <w:kern w:val="0"/>
                <w:sz w:val="24"/>
              </w:rPr>
              <w:t>；</w:t>
            </w:r>
          </w:p>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2、攀登竞技体育技术高峰，激励运动员在全国锦标赛</w:t>
            </w:r>
            <w:r>
              <w:rPr>
                <w:rFonts w:ascii="仿宋_GB2312" w:hAnsi="??" w:eastAsia="仿宋_GB2312" w:cs="宋体"/>
                <w:kern w:val="0"/>
                <w:sz w:val="24"/>
              </w:rPr>
              <w:t>、</w:t>
            </w:r>
            <w:r>
              <w:rPr>
                <w:rFonts w:hint="eastAsia" w:ascii="仿宋_GB2312" w:hAnsi="??" w:eastAsia="仿宋_GB2312" w:cs="宋体"/>
                <w:kern w:val="0"/>
                <w:sz w:val="24"/>
              </w:rPr>
              <w:t>冠军赛</w:t>
            </w:r>
            <w:r>
              <w:rPr>
                <w:rFonts w:ascii="仿宋_GB2312" w:hAnsi="??" w:eastAsia="仿宋_GB2312" w:cs="宋体"/>
                <w:kern w:val="0"/>
                <w:sz w:val="24"/>
              </w:rPr>
              <w:t>和其他</w:t>
            </w:r>
            <w:r>
              <w:rPr>
                <w:rFonts w:hint="eastAsia" w:ascii="仿宋_GB2312" w:hAnsi="??" w:eastAsia="仿宋_GB2312" w:cs="宋体"/>
                <w:kern w:val="0"/>
                <w:sz w:val="24"/>
              </w:rPr>
              <w:t>重大比赛中争取优异成绩，为地区和</w:t>
            </w:r>
            <w:r>
              <w:rPr>
                <w:rFonts w:ascii="仿宋_GB2312" w:hAnsi="??" w:eastAsia="仿宋_GB2312" w:cs="宋体"/>
                <w:kern w:val="0"/>
                <w:sz w:val="24"/>
              </w:rPr>
              <w:t>运动队</w:t>
            </w:r>
            <w:r>
              <w:rPr>
                <w:rFonts w:hint="eastAsia" w:ascii="仿宋_GB2312" w:hAnsi="??" w:eastAsia="仿宋_GB2312" w:cs="宋体"/>
                <w:kern w:val="0"/>
                <w:sz w:val="24"/>
              </w:rPr>
              <w:t>争光；</w:t>
            </w:r>
          </w:p>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3、</w:t>
            </w:r>
            <w:r>
              <w:rPr>
                <w:rFonts w:ascii="仿宋_GB2312" w:hAnsi="??" w:eastAsia="仿宋_GB2312" w:cs="宋体"/>
                <w:kern w:val="0"/>
                <w:sz w:val="24"/>
              </w:rPr>
              <w:t>通过举办各类</w:t>
            </w:r>
            <w:r>
              <w:rPr>
                <w:rFonts w:hint="eastAsia" w:ascii="仿宋_GB2312" w:hAnsi="??" w:eastAsia="仿宋_GB2312" w:cs="宋体"/>
                <w:kern w:val="0"/>
                <w:sz w:val="24"/>
              </w:rPr>
              <w:t>群众</w:t>
            </w:r>
            <w:r>
              <w:rPr>
                <w:rFonts w:ascii="仿宋_GB2312" w:hAnsi="??" w:eastAsia="仿宋_GB2312" w:cs="宋体"/>
                <w:kern w:val="0"/>
                <w:sz w:val="24"/>
              </w:rPr>
              <w:t>体育</w:t>
            </w:r>
            <w:r>
              <w:rPr>
                <w:rFonts w:hint="eastAsia" w:ascii="仿宋_GB2312" w:hAnsi="??" w:eastAsia="仿宋_GB2312" w:cs="宋体"/>
                <w:kern w:val="0"/>
                <w:sz w:val="24"/>
              </w:rPr>
              <w:t>公益性</w:t>
            </w:r>
            <w:r>
              <w:rPr>
                <w:rFonts w:ascii="仿宋_GB2312" w:hAnsi="??" w:eastAsia="仿宋_GB2312" w:cs="宋体"/>
                <w:kern w:val="0"/>
                <w:sz w:val="24"/>
              </w:rPr>
              <w:t>培训班，</w:t>
            </w:r>
            <w:r>
              <w:rPr>
                <w:rFonts w:hint="eastAsia" w:ascii="仿宋_GB2312" w:hAnsi="??" w:eastAsia="仿宋_GB2312" w:cs="宋体"/>
                <w:kern w:val="0"/>
                <w:sz w:val="24"/>
              </w:rPr>
              <w:t>构建多渠道、社会化的全民健身机制；</w:t>
            </w:r>
          </w:p>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4、通过对场馆的维护与管理，获得更多承接全国高水平赛事的机会，并培养出更多高水平体育运动员。</w:t>
            </w:r>
          </w:p>
        </w:tc>
        <w:tc>
          <w:tcPr>
            <w:tcW w:w="3754"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为培养体育人才提供了良好的训练场所和承办赛事数得</w:t>
            </w:r>
            <w:r>
              <w:rPr>
                <w:rFonts w:ascii="仿宋_GB2312" w:hAnsi="??" w:eastAsia="仿宋_GB2312" w:cs="宋体"/>
                <w:kern w:val="0"/>
                <w:sz w:val="24"/>
              </w:rPr>
              <w:t>1.5</w:t>
            </w:r>
            <w:r>
              <w:rPr>
                <w:rFonts w:hint="eastAsia" w:ascii="仿宋_GB2312" w:hAnsi="??" w:eastAsia="仿宋_GB2312" w:cs="宋体"/>
                <w:kern w:val="0"/>
                <w:sz w:val="24"/>
              </w:rPr>
              <w:t>分；为</w:t>
            </w:r>
            <w:r>
              <w:rPr>
                <w:rFonts w:ascii="仿宋_GB2312" w:hAnsi="??" w:eastAsia="仿宋_GB2312" w:cs="宋体"/>
                <w:kern w:val="0"/>
                <w:sz w:val="24"/>
              </w:rPr>
              <w:t>专业队输送</w:t>
            </w:r>
            <w:r>
              <w:rPr>
                <w:rFonts w:hint="eastAsia" w:ascii="仿宋_GB2312" w:hAnsi="??" w:eastAsia="仿宋_GB2312" w:cs="宋体"/>
                <w:kern w:val="0"/>
                <w:sz w:val="24"/>
              </w:rPr>
              <w:t>预期</w:t>
            </w:r>
            <w:r>
              <w:rPr>
                <w:rFonts w:ascii="仿宋_GB2312" w:hAnsi="??" w:eastAsia="仿宋_GB2312" w:cs="宋体"/>
                <w:kern w:val="0"/>
                <w:sz w:val="24"/>
              </w:rPr>
              <w:t>人次得1.5</w:t>
            </w:r>
            <w:r>
              <w:rPr>
                <w:rFonts w:hint="eastAsia" w:ascii="仿宋_GB2312" w:hAnsi="??" w:eastAsia="仿宋_GB2312" w:cs="宋体"/>
                <w:kern w:val="0"/>
                <w:sz w:val="24"/>
              </w:rPr>
              <w:t>分；按</w:t>
            </w:r>
            <w:r>
              <w:rPr>
                <w:rFonts w:ascii="仿宋_GB2312" w:hAnsi="??" w:eastAsia="仿宋_GB2312" w:cs="宋体"/>
                <w:kern w:val="0"/>
                <w:sz w:val="24"/>
              </w:rPr>
              <w:t>绩效预期举办了</w:t>
            </w:r>
            <w:r>
              <w:rPr>
                <w:rFonts w:hint="eastAsia" w:ascii="仿宋_GB2312" w:hAnsi="??" w:eastAsia="仿宋_GB2312" w:cs="宋体"/>
                <w:kern w:val="0"/>
                <w:sz w:val="24"/>
              </w:rPr>
              <w:t>群众</w:t>
            </w:r>
            <w:r>
              <w:rPr>
                <w:rFonts w:ascii="仿宋_GB2312" w:hAnsi="??" w:eastAsia="仿宋_GB2312" w:cs="宋体"/>
                <w:kern w:val="0"/>
                <w:sz w:val="24"/>
              </w:rPr>
              <w:t>体育活动培训班并完成</w:t>
            </w:r>
            <w:r>
              <w:rPr>
                <w:rFonts w:hint="eastAsia" w:ascii="仿宋_GB2312" w:hAnsi="??" w:eastAsia="仿宋_GB2312" w:cs="宋体"/>
                <w:kern w:val="0"/>
                <w:sz w:val="24"/>
              </w:rPr>
              <w:t>一定</w:t>
            </w:r>
            <w:r>
              <w:rPr>
                <w:rFonts w:ascii="仿宋_GB2312" w:hAnsi="??" w:eastAsia="仿宋_GB2312" w:cs="宋体"/>
                <w:kern w:val="0"/>
                <w:sz w:val="24"/>
              </w:rPr>
              <w:t>培训人次得1.5</w:t>
            </w:r>
            <w:r>
              <w:rPr>
                <w:rFonts w:hint="eastAsia" w:ascii="仿宋_GB2312" w:hAnsi="??" w:eastAsia="仿宋_GB2312" w:cs="宋体"/>
                <w:kern w:val="0"/>
                <w:sz w:val="24"/>
              </w:rPr>
              <w:t>分</w:t>
            </w:r>
            <w:r>
              <w:rPr>
                <w:rFonts w:ascii="仿宋_GB2312" w:hAnsi="??" w:eastAsia="仿宋_GB2312" w:cs="宋体"/>
                <w:kern w:val="0"/>
                <w:sz w:val="24"/>
              </w:rPr>
              <w:t>；</w:t>
            </w:r>
            <w:r>
              <w:rPr>
                <w:rFonts w:hint="eastAsia" w:ascii="仿宋_GB2312" w:hAnsi="??" w:eastAsia="仿宋_GB2312" w:cs="宋体"/>
                <w:kern w:val="0"/>
                <w:sz w:val="24"/>
              </w:rPr>
              <w:t>通过</w:t>
            </w:r>
            <w:r>
              <w:rPr>
                <w:rFonts w:ascii="仿宋_GB2312" w:hAnsi="??" w:eastAsia="仿宋_GB2312" w:cs="宋体"/>
                <w:kern w:val="0"/>
                <w:sz w:val="24"/>
              </w:rPr>
              <w:t>对</w:t>
            </w:r>
            <w:r>
              <w:rPr>
                <w:rFonts w:hint="eastAsia" w:ascii="仿宋_GB2312" w:hAnsi="??" w:eastAsia="仿宋_GB2312" w:cs="宋体"/>
                <w:kern w:val="0"/>
                <w:sz w:val="24"/>
              </w:rPr>
              <w:t>相关</w:t>
            </w:r>
            <w:r>
              <w:rPr>
                <w:rFonts w:ascii="仿宋_GB2312" w:hAnsi="??" w:eastAsia="仿宋_GB2312" w:cs="宋体"/>
                <w:kern w:val="0"/>
                <w:sz w:val="24"/>
              </w:rPr>
              <w:t>运动员</w:t>
            </w:r>
            <w:r>
              <w:rPr>
                <w:rFonts w:hint="eastAsia" w:ascii="仿宋_GB2312" w:hAnsi="??" w:eastAsia="仿宋_GB2312" w:cs="宋体"/>
                <w:kern w:val="0"/>
                <w:sz w:val="24"/>
              </w:rPr>
              <w:t>的</w:t>
            </w:r>
            <w:r>
              <w:rPr>
                <w:rFonts w:ascii="仿宋_GB2312" w:hAnsi="??" w:eastAsia="仿宋_GB2312" w:cs="宋体"/>
                <w:kern w:val="0"/>
                <w:sz w:val="24"/>
              </w:rPr>
              <w:t>奖励，促进</w:t>
            </w:r>
            <w:r>
              <w:rPr>
                <w:rFonts w:hint="eastAsia" w:ascii="仿宋_GB2312" w:hAnsi="??" w:eastAsia="仿宋_GB2312" w:cs="宋体"/>
                <w:kern w:val="0"/>
                <w:sz w:val="24"/>
              </w:rPr>
              <w:t>相关</w:t>
            </w:r>
            <w:r>
              <w:rPr>
                <w:rFonts w:ascii="仿宋_GB2312" w:hAnsi="??" w:eastAsia="仿宋_GB2312" w:cs="宋体"/>
                <w:kern w:val="0"/>
                <w:sz w:val="24"/>
              </w:rPr>
              <w:t>人员</w:t>
            </w:r>
            <w:r>
              <w:rPr>
                <w:rFonts w:hint="eastAsia" w:ascii="仿宋_GB2312" w:hAnsi="??" w:eastAsia="仿宋_GB2312" w:cs="宋体"/>
                <w:kern w:val="0"/>
                <w:sz w:val="24"/>
              </w:rPr>
              <w:t>当年赛事</w:t>
            </w:r>
            <w:r>
              <w:rPr>
                <w:rFonts w:ascii="仿宋_GB2312" w:hAnsi="??" w:eastAsia="仿宋_GB2312" w:cs="宋体"/>
                <w:kern w:val="0"/>
                <w:sz w:val="24"/>
              </w:rPr>
              <w:t>成绩得到</w:t>
            </w:r>
            <w:r>
              <w:rPr>
                <w:rFonts w:hint="eastAsia" w:ascii="仿宋_GB2312" w:hAnsi="??" w:eastAsia="仿宋_GB2312" w:cs="宋体"/>
                <w:kern w:val="0"/>
                <w:sz w:val="24"/>
              </w:rPr>
              <w:t>进步</w:t>
            </w:r>
            <w:r>
              <w:rPr>
                <w:rFonts w:ascii="仿宋_GB2312" w:hAnsi="??" w:eastAsia="仿宋_GB2312" w:cs="宋体"/>
                <w:kern w:val="0"/>
                <w:sz w:val="24"/>
              </w:rPr>
              <w:t>得1.5</w:t>
            </w:r>
            <w:r>
              <w:rPr>
                <w:rFonts w:hint="eastAsia" w:ascii="仿宋_GB2312" w:hAnsi="??" w:eastAsia="仿宋_GB2312" w:cs="宋体"/>
                <w:kern w:val="0"/>
                <w:sz w:val="24"/>
              </w:rPr>
              <w:t>分；否则扣1</w:t>
            </w:r>
            <w:r>
              <w:rPr>
                <w:rFonts w:ascii="仿宋_GB2312" w:hAnsi="??" w:eastAsia="仿宋_GB2312" w:cs="宋体"/>
                <w:kern w:val="0"/>
                <w:sz w:val="24"/>
              </w:rPr>
              <w:t>-6</w:t>
            </w:r>
            <w:r>
              <w:rPr>
                <w:rFonts w:hint="eastAsia" w:ascii="仿宋_GB2312" w:hAnsi="??" w:eastAsia="仿宋_GB2312" w:cs="宋体"/>
                <w:kern w:val="0"/>
                <w:sz w:val="24"/>
              </w:rPr>
              <w:t>分</w:t>
            </w:r>
            <w:r>
              <w:rPr>
                <w:rFonts w:ascii="仿宋_GB2312" w:hAnsi="??" w:eastAsia="仿宋_GB2312" w:cs="宋体"/>
                <w:kern w:val="0"/>
                <w:sz w:val="24"/>
              </w:rPr>
              <w:t>。</w:t>
            </w:r>
          </w:p>
        </w:tc>
        <w:tc>
          <w:tcPr>
            <w:tcW w:w="58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6</w:t>
            </w:r>
          </w:p>
        </w:tc>
      </w:tr>
      <w:tr>
        <w:tblPrEx>
          <w:tblLayout w:type="fixed"/>
          <w:tblCellMar>
            <w:top w:w="0" w:type="dxa"/>
            <w:left w:w="108" w:type="dxa"/>
            <w:bottom w:w="0" w:type="dxa"/>
            <w:right w:w="108" w:type="dxa"/>
          </w:tblCellMar>
        </w:tblPrEx>
        <w:trPr>
          <w:trHeight w:val="762"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804"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可持续</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影响</w:t>
            </w:r>
          </w:p>
        </w:tc>
        <w:tc>
          <w:tcPr>
            <w:tcW w:w="525"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6</w:t>
            </w:r>
          </w:p>
        </w:tc>
        <w:tc>
          <w:tcPr>
            <w:tcW w:w="2766"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项目后续运行及成效发挥的可持续影响情况。</w:t>
            </w:r>
          </w:p>
        </w:tc>
        <w:tc>
          <w:tcPr>
            <w:tcW w:w="4104"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ascii="仿宋_GB2312" w:hAnsi="??" w:eastAsia="仿宋_GB2312" w:cs="宋体"/>
                <w:kern w:val="0"/>
                <w:sz w:val="24"/>
              </w:rPr>
              <w:t>1</w:t>
            </w:r>
            <w:r>
              <w:rPr>
                <w:rFonts w:hint="eastAsia" w:ascii="仿宋_GB2312" w:hAnsi="??" w:eastAsia="仿宋_GB2312" w:cs="宋体"/>
                <w:kern w:val="0"/>
                <w:sz w:val="24"/>
              </w:rPr>
              <w:t>、项目有无可持续潜力；</w:t>
            </w:r>
            <w:r>
              <w:rPr>
                <w:rFonts w:ascii="仿宋_GB2312" w:hAnsi="??" w:eastAsia="仿宋_GB2312" w:cs="宋体"/>
                <w:kern w:val="0"/>
                <w:sz w:val="24"/>
              </w:rPr>
              <w:br w:type="textWrapping"/>
            </w:r>
            <w:r>
              <w:rPr>
                <w:rFonts w:ascii="仿宋_GB2312" w:hAnsi="??" w:eastAsia="仿宋_GB2312" w:cs="宋体"/>
                <w:kern w:val="0"/>
                <w:sz w:val="24"/>
              </w:rPr>
              <w:t>2</w:t>
            </w:r>
            <w:r>
              <w:rPr>
                <w:rFonts w:hint="eastAsia" w:ascii="仿宋_GB2312" w:hAnsi="??" w:eastAsia="仿宋_GB2312" w:cs="宋体"/>
                <w:kern w:val="0"/>
                <w:sz w:val="24"/>
              </w:rPr>
              <w:t>、能否推动体育事业的健康发展。</w:t>
            </w:r>
          </w:p>
        </w:tc>
        <w:tc>
          <w:tcPr>
            <w:tcW w:w="3754"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项目实施后，有可持续潜力，并能推动体育事业的健康发展得</w:t>
            </w:r>
            <w:r>
              <w:rPr>
                <w:rFonts w:ascii="仿宋_GB2312" w:hAnsi="??" w:eastAsia="仿宋_GB2312" w:cs="宋体"/>
                <w:kern w:val="0"/>
                <w:sz w:val="24"/>
              </w:rPr>
              <w:t>6</w:t>
            </w:r>
            <w:r>
              <w:rPr>
                <w:rFonts w:hint="eastAsia" w:ascii="仿宋_GB2312" w:hAnsi="??" w:eastAsia="仿宋_GB2312" w:cs="宋体"/>
                <w:kern w:val="0"/>
                <w:sz w:val="24"/>
              </w:rPr>
              <w:t>分，其它情形扣</w:t>
            </w:r>
            <w:r>
              <w:rPr>
                <w:rFonts w:ascii="仿宋_GB2312" w:hAnsi="??" w:eastAsia="仿宋_GB2312" w:cs="宋体"/>
                <w:kern w:val="0"/>
                <w:sz w:val="24"/>
              </w:rPr>
              <w:t>1-6</w:t>
            </w:r>
            <w:r>
              <w:rPr>
                <w:rFonts w:hint="eastAsia" w:ascii="仿宋_GB2312" w:hAnsi="??" w:eastAsia="仿宋_GB2312" w:cs="宋体"/>
                <w:kern w:val="0"/>
                <w:sz w:val="24"/>
              </w:rPr>
              <w:t>分。</w:t>
            </w:r>
          </w:p>
        </w:tc>
        <w:tc>
          <w:tcPr>
            <w:tcW w:w="58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6</w:t>
            </w:r>
          </w:p>
        </w:tc>
      </w:tr>
      <w:tr>
        <w:tblPrEx>
          <w:tblLayout w:type="fixed"/>
          <w:tblCellMar>
            <w:top w:w="0" w:type="dxa"/>
            <w:left w:w="108" w:type="dxa"/>
            <w:bottom w:w="0" w:type="dxa"/>
            <w:right w:w="108" w:type="dxa"/>
          </w:tblCellMar>
        </w:tblPrEx>
        <w:trPr>
          <w:trHeight w:val="600" w:hRule="atLeast"/>
          <w:jc w:val="center"/>
        </w:trPr>
        <w:tc>
          <w:tcPr>
            <w:tcW w:w="704"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0"/>
              </w:rPr>
            </w:pPr>
          </w:p>
        </w:tc>
        <w:tc>
          <w:tcPr>
            <w:tcW w:w="767"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仿宋_GB2312" w:hAnsi="??" w:eastAsia="仿宋_GB2312" w:cs="宋体"/>
                <w:kern w:val="0"/>
                <w:sz w:val="24"/>
              </w:rPr>
            </w:pPr>
          </w:p>
        </w:tc>
        <w:tc>
          <w:tcPr>
            <w:tcW w:w="804"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社会</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公众</w:t>
            </w:r>
          </w:p>
          <w:p>
            <w:pPr>
              <w:widowControl/>
              <w:spacing w:line="400" w:lineRule="exact"/>
              <w:jc w:val="center"/>
              <w:rPr>
                <w:rFonts w:ascii="仿宋_GB2312" w:hAnsi="??" w:eastAsia="仿宋_GB2312" w:cs="宋体"/>
                <w:kern w:val="0"/>
                <w:sz w:val="24"/>
              </w:rPr>
            </w:pPr>
            <w:r>
              <w:rPr>
                <w:rFonts w:hint="eastAsia" w:ascii="仿宋_GB2312" w:hAnsi="??" w:eastAsia="仿宋_GB2312" w:cs="宋体"/>
                <w:kern w:val="0"/>
                <w:sz w:val="24"/>
              </w:rPr>
              <w:t>满意度</w:t>
            </w:r>
          </w:p>
        </w:tc>
        <w:tc>
          <w:tcPr>
            <w:tcW w:w="525"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 w:eastAsia="仿宋_GB2312" w:cs="宋体"/>
                <w:kern w:val="0"/>
                <w:sz w:val="24"/>
              </w:rPr>
            </w:pPr>
            <w:r>
              <w:rPr>
                <w:rFonts w:ascii="仿宋_GB2312" w:hAnsi="??" w:eastAsia="仿宋_GB2312" w:cs="宋体"/>
                <w:kern w:val="0"/>
                <w:sz w:val="24"/>
              </w:rPr>
              <w:t>8</w:t>
            </w:r>
          </w:p>
        </w:tc>
        <w:tc>
          <w:tcPr>
            <w:tcW w:w="2766"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社会公众或服务对象对项目实施效果的满意程度。</w:t>
            </w:r>
          </w:p>
        </w:tc>
        <w:tc>
          <w:tcPr>
            <w:tcW w:w="4104"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社会公众或服务对象是指因该项目实施而受到影响的部门、群体或个人。</w:t>
            </w:r>
          </w:p>
        </w:tc>
        <w:tc>
          <w:tcPr>
            <w:tcW w:w="3754"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 w:eastAsia="仿宋_GB2312" w:cs="宋体"/>
                <w:kern w:val="0"/>
                <w:sz w:val="24"/>
              </w:rPr>
            </w:pPr>
            <w:r>
              <w:rPr>
                <w:rFonts w:hint="eastAsia" w:ascii="仿宋_GB2312" w:hAnsi="??" w:eastAsia="仿宋_GB2312" w:cs="宋体"/>
                <w:kern w:val="0"/>
                <w:sz w:val="24"/>
              </w:rPr>
              <w:t>社会公众或服务对象满意度</w:t>
            </w:r>
            <w:r>
              <w:rPr>
                <w:rFonts w:ascii="仿宋_GB2312" w:hAnsi="??" w:eastAsia="仿宋_GB2312" w:cs="宋体"/>
                <w:kern w:val="0"/>
                <w:sz w:val="24"/>
              </w:rPr>
              <w:t>100%</w:t>
            </w:r>
            <w:r>
              <w:rPr>
                <w:rFonts w:hint="eastAsia" w:ascii="仿宋_GB2312" w:hAnsi="??" w:eastAsia="仿宋_GB2312" w:cs="宋体"/>
                <w:kern w:val="0"/>
                <w:sz w:val="24"/>
              </w:rPr>
              <w:t>，得</w:t>
            </w:r>
            <w:r>
              <w:rPr>
                <w:rFonts w:ascii="仿宋_GB2312" w:hAnsi="??" w:eastAsia="仿宋_GB2312" w:cs="宋体"/>
                <w:kern w:val="0"/>
                <w:sz w:val="24"/>
              </w:rPr>
              <w:t>8</w:t>
            </w:r>
            <w:r>
              <w:rPr>
                <w:rFonts w:hint="eastAsia" w:ascii="仿宋_GB2312" w:hAnsi="??" w:eastAsia="仿宋_GB2312" w:cs="宋体"/>
                <w:kern w:val="0"/>
                <w:sz w:val="24"/>
              </w:rPr>
              <w:t>分，满意度每下降十个百分点扣</w:t>
            </w:r>
            <w:r>
              <w:rPr>
                <w:rFonts w:ascii="仿宋_GB2312" w:hAnsi="??" w:eastAsia="仿宋_GB2312" w:cs="宋体"/>
                <w:kern w:val="0"/>
                <w:sz w:val="24"/>
              </w:rPr>
              <w:t>1</w:t>
            </w:r>
            <w:r>
              <w:rPr>
                <w:rFonts w:hint="eastAsia" w:ascii="仿宋_GB2312" w:hAnsi="??" w:eastAsia="仿宋_GB2312" w:cs="宋体"/>
                <w:kern w:val="0"/>
                <w:sz w:val="24"/>
              </w:rPr>
              <w:t>分。</w:t>
            </w:r>
          </w:p>
        </w:tc>
        <w:tc>
          <w:tcPr>
            <w:tcW w:w="58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8</w:t>
            </w:r>
          </w:p>
        </w:tc>
      </w:tr>
      <w:tr>
        <w:tblPrEx>
          <w:tblLayout w:type="fixed"/>
          <w:tblCellMar>
            <w:top w:w="0" w:type="dxa"/>
            <w:left w:w="108" w:type="dxa"/>
            <w:bottom w:w="0" w:type="dxa"/>
            <w:right w:w="108" w:type="dxa"/>
          </w:tblCellMar>
        </w:tblPrEx>
        <w:trPr>
          <w:trHeight w:val="420" w:hRule="atLeast"/>
          <w:jc w:val="center"/>
        </w:trPr>
        <w:tc>
          <w:tcPr>
            <w:tcW w:w="3187"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合计</w:t>
            </w:r>
          </w:p>
        </w:tc>
        <w:tc>
          <w:tcPr>
            <w:tcW w:w="525"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ascii="仿宋_GB2312" w:hAnsi="宋体" w:eastAsia="仿宋_GB2312" w:cs="宋体"/>
                <w:kern w:val="0"/>
                <w:sz w:val="20"/>
              </w:rPr>
              <w:t>100</w:t>
            </w:r>
          </w:p>
        </w:tc>
        <w:tc>
          <w:tcPr>
            <w:tcW w:w="2766"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宋体" w:eastAsia="仿宋_GB2312" w:cs="宋体"/>
                <w:kern w:val="0"/>
                <w:sz w:val="20"/>
              </w:rPr>
            </w:pPr>
            <w:r>
              <w:rPr>
                <w:rFonts w:hint="eastAsia" w:ascii="仿宋_GB2312" w:hAnsi="宋体" w:eastAsia="仿宋_GB2312" w:cs="宋体"/>
                <w:kern w:val="0"/>
                <w:sz w:val="20"/>
              </w:rPr>
              <w:t>　</w:t>
            </w:r>
          </w:p>
        </w:tc>
        <w:tc>
          <w:tcPr>
            <w:tcW w:w="4104"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　</w:t>
            </w:r>
          </w:p>
        </w:tc>
        <w:tc>
          <w:tcPr>
            <w:tcW w:w="3754" w:type="dxa"/>
            <w:tcBorders>
              <w:top w:val="nil"/>
              <w:left w:val="nil"/>
              <w:bottom w:val="single" w:color="auto" w:sz="4" w:space="0"/>
              <w:right w:val="single" w:color="auto" w:sz="4" w:space="0"/>
            </w:tcBorders>
            <w:shd w:val="clear" w:color="auto" w:fill="FFFFFF"/>
            <w:vAlign w:val="center"/>
          </w:tcPr>
          <w:p>
            <w:pPr>
              <w:widowControl/>
              <w:spacing w:line="400" w:lineRule="exact"/>
              <w:jc w:val="left"/>
              <w:rPr>
                <w:rFonts w:ascii="仿宋_GB2312" w:hAnsi="宋体" w:eastAsia="仿宋_GB2312" w:cs="宋体"/>
                <w:kern w:val="0"/>
                <w:sz w:val="20"/>
              </w:rPr>
            </w:pPr>
            <w:r>
              <w:rPr>
                <w:rFonts w:hint="eastAsia" w:ascii="仿宋_GB2312" w:hAnsi="宋体" w:eastAsia="仿宋_GB2312" w:cs="宋体"/>
                <w:kern w:val="0"/>
                <w:sz w:val="20"/>
              </w:rPr>
              <w:t>　</w:t>
            </w:r>
          </w:p>
        </w:tc>
        <w:tc>
          <w:tcPr>
            <w:tcW w:w="580" w:type="dxa"/>
            <w:tcBorders>
              <w:top w:val="nil"/>
              <w:left w:val="nil"/>
              <w:bottom w:val="single" w:color="auto" w:sz="4" w:space="0"/>
              <w:right w:val="single" w:color="auto" w:sz="4" w:space="0"/>
            </w:tcBorders>
            <w:shd w:val="clear" w:color="auto" w:fill="FFFFFF"/>
            <w:vAlign w:val="center"/>
          </w:tcPr>
          <w:p>
            <w:pPr>
              <w:widowControl/>
              <w:spacing w:line="400" w:lineRule="exact"/>
              <w:jc w:val="center"/>
              <w:rPr>
                <w:rFonts w:ascii="仿宋_GB2312" w:hAnsi="宋体" w:eastAsia="仿宋_GB2312" w:cs="宋体"/>
                <w:kern w:val="0"/>
                <w:sz w:val="20"/>
              </w:rPr>
            </w:pPr>
            <w:r>
              <w:rPr>
                <w:rFonts w:hint="eastAsia" w:ascii="仿宋_GB2312" w:hAnsi="宋体" w:eastAsia="仿宋_GB2312" w:cs="宋体"/>
                <w:kern w:val="0"/>
                <w:sz w:val="20"/>
              </w:rPr>
              <w:t>94</w:t>
            </w:r>
          </w:p>
        </w:tc>
      </w:tr>
    </w:tbl>
    <w:p>
      <w:pPr>
        <w:widowControl/>
        <w:tabs>
          <w:tab w:val="left" w:pos="14429"/>
        </w:tabs>
        <w:ind w:left="93"/>
        <w:jc w:val="left"/>
        <w:rPr>
          <w:rFonts w:ascii="仿宋_GB2312" w:hAnsi="??" w:eastAsia="仿宋_GB2312" w:cs="宋体"/>
          <w:kern w:val="0"/>
          <w:sz w:val="24"/>
        </w:rPr>
      </w:pPr>
      <w:r>
        <w:rPr>
          <w:rFonts w:hint="eastAsia" w:ascii="仿宋_GB2312" w:hAnsi="??" w:eastAsia="仿宋_GB2312" w:cs="宋体"/>
          <w:kern w:val="0"/>
          <w:sz w:val="24"/>
        </w:rPr>
        <w:t>注：社会公众满意度指标适用于群众</w:t>
      </w:r>
      <w:r>
        <w:rPr>
          <w:rFonts w:ascii="仿宋_GB2312" w:hAnsi="??" w:eastAsia="仿宋_GB2312" w:cs="宋体"/>
          <w:kern w:val="0"/>
          <w:sz w:val="24"/>
        </w:rPr>
        <w:t>体育</w:t>
      </w:r>
      <w:r>
        <w:rPr>
          <w:rFonts w:hint="eastAsia" w:ascii="仿宋_GB2312" w:hAnsi="??" w:eastAsia="仿宋_GB2312" w:cs="宋体"/>
          <w:kern w:val="0"/>
          <w:sz w:val="24"/>
        </w:rPr>
        <w:t>活动项目，其他项目评分时将社会公众满意度的分值平均加到社会效益和可持续影响指标中。</w:t>
      </w:r>
    </w:p>
    <w:p>
      <w:pPr>
        <w:widowControl/>
        <w:tabs>
          <w:tab w:val="left" w:pos="14429"/>
        </w:tabs>
        <w:ind w:left="93"/>
        <w:jc w:val="left"/>
        <w:rPr>
          <w:rFonts w:ascii="仿宋_GB2312" w:hAnsi="??" w:eastAsia="仿宋_GB2312" w:cs="宋体"/>
          <w:kern w:val="0"/>
          <w:sz w:val="24"/>
        </w:rPr>
      </w:pPr>
      <w:r>
        <w:rPr>
          <w:rFonts w:hint="eastAsia" w:ascii="仿宋_GB2312" w:hAnsi="??" w:eastAsia="仿宋_GB2312" w:cs="宋体"/>
          <w:kern w:val="0"/>
          <w:sz w:val="24"/>
        </w:rPr>
        <w:t>附件2</w:t>
      </w:r>
    </w:p>
    <w:p>
      <w:pPr>
        <w:tabs>
          <w:tab w:val="left" w:pos="7560"/>
        </w:tabs>
        <w:spacing w:line="700" w:lineRule="exact"/>
        <w:jc w:val="center"/>
        <w:rPr>
          <w:rFonts w:ascii="仿宋_GB2312" w:hAnsi="??" w:eastAsia="仿宋_GB2312" w:cs="宋体"/>
          <w:kern w:val="0"/>
          <w:sz w:val="24"/>
        </w:rPr>
      </w:pPr>
      <w:r>
        <w:rPr>
          <w:rFonts w:ascii="仿宋_GB2312" w:hAnsi="??" w:eastAsia="仿宋_GB2312" w:cs="宋体"/>
          <w:kern w:val="0"/>
          <w:sz w:val="24"/>
        </w:rPr>
        <w:t xml:space="preserve">       </w:t>
      </w:r>
      <w:r>
        <w:rPr>
          <w:rFonts w:hint="eastAsia" w:ascii="方正小标宋简体" w:hAnsi="??" w:eastAsia="方正小标宋简体"/>
          <w:sz w:val="44"/>
          <w:szCs w:val="44"/>
        </w:rPr>
        <w:t>2017年体育发展专项项目省级财政资金基础数据表</w:t>
      </w:r>
    </w:p>
    <w:tbl>
      <w:tblPr>
        <w:tblStyle w:val="15"/>
        <w:tblW w:w="15168" w:type="dxa"/>
        <w:tblInd w:w="-743" w:type="dxa"/>
        <w:tblLayout w:type="fixed"/>
        <w:tblCellMar>
          <w:top w:w="0" w:type="dxa"/>
          <w:left w:w="108" w:type="dxa"/>
          <w:bottom w:w="0" w:type="dxa"/>
          <w:right w:w="108" w:type="dxa"/>
        </w:tblCellMar>
      </w:tblPr>
      <w:tblGrid>
        <w:gridCol w:w="709"/>
        <w:gridCol w:w="1276"/>
        <w:gridCol w:w="1134"/>
        <w:gridCol w:w="993"/>
        <w:gridCol w:w="992"/>
        <w:gridCol w:w="1276"/>
        <w:gridCol w:w="1275"/>
        <w:gridCol w:w="1276"/>
        <w:gridCol w:w="1134"/>
        <w:gridCol w:w="1134"/>
        <w:gridCol w:w="1134"/>
        <w:gridCol w:w="1666"/>
        <w:gridCol w:w="1169"/>
      </w:tblGrid>
      <w:tr>
        <w:tblPrEx>
          <w:tblLayout w:type="fixed"/>
          <w:tblCellMar>
            <w:top w:w="0" w:type="dxa"/>
            <w:left w:w="108" w:type="dxa"/>
            <w:bottom w:w="0" w:type="dxa"/>
            <w:right w:w="108" w:type="dxa"/>
          </w:tblCellMar>
        </w:tblPrEx>
        <w:trPr>
          <w:trHeight w:val="285" w:hRule="atLeast"/>
          <w:tblHeader/>
        </w:trPr>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序号</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项目名称</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2017年下达省级资金文号</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工作量（平米）</w:t>
            </w:r>
          </w:p>
        </w:tc>
        <w:tc>
          <w:tcPr>
            <w:tcW w:w="255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工期</w:t>
            </w:r>
          </w:p>
        </w:tc>
        <w:tc>
          <w:tcPr>
            <w:tcW w:w="467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项目资金及使用情况（万元）</w:t>
            </w:r>
          </w:p>
        </w:tc>
        <w:tc>
          <w:tcPr>
            <w:tcW w:w="16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专项资金管理办法及专项立项依据</w:t>
            </w:r>
          </w:p>
        </w:tc>
        <w:tc>
          <w:tcPr>
            <w:tcW w:w="11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实施单位</w:t>
            </w:r>
          </w:p>
        </w:tc>
      </w:tr>
      <w:tr>
        <w:tblPrEx>
          <w:tblLayout w:type="fixed"/>
          <w:tblCellMar>
            <w:top w:w="0" w:type="dxa"/>
            <w:left w:w="108" w:type="dxa"/>
            <w:bottom w:w="0" w:type="dxa"/>
            <w:right w:w="108" w:type="dxa"/>
          </w:tblCellMar>
        </w:tblPrEx>
        <w:trPr>
          <w:trHeight w:val="690" w:hRule="atLeast"/>
          <w:tblHeader/>
        </w:trPr>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计划</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完成</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开工时间</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竣工时间</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2017年安排资金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到位资金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使用资金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资金节余</w:t>
            </w:r>
          </w:p>
        </w:tc>
        <w:tc>
          <w:tcPr>
            <w:tcW w:w="166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c>
          <w:tcPr>
            <w:tcW w:w="116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Cs w:val="21"/>
              </w:rPr>
            </w:pPr>
          </w:p>
        </w:tc>
      </w:tr>
      <w:tr>
        <w:tblPrEx>
          <w:tblLayout w:type="fixed"/>
          <w:tblCellMar>
            <w:top w:w="0" w:type="dxa"/>
            <w:left w:w="108" w:type="dxa"/>
            <w:bottom w:w="0" w:type="dxa"/>
            <w:right w:w="108" w:type="dxa"/>
          </w:tblCellMar>
        </w:tblPrEx>
        <w:trPr>
          <w:trHeight w:val="16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运动员常年赛成绩奖金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湘财教指[2017]14号</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100.00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《湖南省体育发展专项资金管理办法》、《湖南省体育运动员贯彻&lt;事业单位工作人员收入分配制度改革方案&gt;的实施意见》</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人事处</w:t>
            </w:r>
          </w:p>
        </w:tc>
      </w:tr>
      <w:tr>
        <w:tblPrEx>
          <w:tblLayout w:type="fixed"/>
          <w:tblCellMar>
            <w:top w:w="0" w:type="dxa"/>
            <w:left w:w="108" w:type="dxa"/>
            <w:bottom w:w="0" w:type="dxa"/>
            <w:right w:w="108" w:type="dxa"/>
          </w:tblCellMar>
        </w:tblPrEx>
        <w:trPr>
          <w:trHeight w:val="144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系统内场馆维修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湘财教指[2017]14号</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321.00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321.00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209.82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111.18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《湖南省体育发展专项资金管理办法》、《湖南省体育局采购管理办法》、《湖南省体育局财务管理办法》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局二级单位及其他单位</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省局机关大院维修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2017年1月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2017年12月</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91.00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91.00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53.05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37.95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省体育局</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省体育场田径场看台实施维修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649.00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463.00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2017年9月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2017年10月</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28.56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11.44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省体育场</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省田径运动管理中心田径棚训练场维修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省田管中心</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省体育职业学院围墙改造和道路维修资金</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1,200.00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1,200.00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2017年8月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2017年11月</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41.00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9.00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省体育职院</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省摔柔跆管理中心训练房设施维修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350.00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350.00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2017年8月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2017年12月</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省摔柔跆中心</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郴州基地训练综合馆维修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2,210.00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2,210.00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2018年9月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2018年10月</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郴州训练基地</w:t>
            </w:r>
          </w:p>
        </w:tc>
      </w:tr>
      <w:tr>
        <w:tblPrEx>
          <w:tblLayout w:type="fixed"/>
          <w:tblCellMar>
            <w:top w:w="0" w:type="dxa"/>
            <w:left w:w="108" w:type="dxa"/>
            <w:bottom w:w="0" w:type="dxa"/>
            <w:right w:w="108" w:type="dxa"/>
          </w:tblCellMar>
        </w:tblPrEx>
        <w:trPr>
          <w:trHeight w:val="9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省模型和摩托艇中心模型中心配套设施维修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3,671.80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3,671.80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2015年7月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2016年5月</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省体模中心</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省体科所科研室维修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700.00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700.00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2017年2月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2017年5月</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37.21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2.79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体科所</w:t>
            </w:r>
          </w:p>
        </w:tc>
      </w:tr>
      <w:tr>
        <w:tblPrEx>
          <w:tblLayout w:type="fixed"/>
          <w:tblCellMar>
            <w:top w:w="0" w:type="dxa"/>
            <w:left w:w="108" w:type="dxa"/>
            <w:bottom w:w="0" w:type="dxa"/>
            <w:right w:w="108" w:type="dxa"/>
          </w:tblCellMar>
        </w:tblPrEx>
        <w:trPr>
          <w:trHeight w:val="9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群众体育活动专项</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湘财教指[2017]14号</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69.92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30.08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《湖南省体育发展专项资金管理办法》、《湖南省全民健身条例》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局二级单位及其他单位</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全省太极拳一级社会体育指导员培训班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省体育职院</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全省健身教练一级社会体育指导员培训班</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9.92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0.08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省体育职院</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全省基层足球协会业务培训动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省体育职院</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全省社区足球指导员训练营</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16.00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16.00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16.00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省体育职院</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3-5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2017年中华龙舟大赛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60.00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60.00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60.00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长沙市芙蓉区政府</w:t>
            </w:r>
          </w:p>
        </w:tc>
      </w:tr>
      <w:tr>
        <w:tblPrEx>
          <w:tblLayout w:type="fixed"/>
          <w:tblCellMar>
            <w:top w:w="0" w:type="dxa"/>
            <w:left w:w="108" w:type="dxa"/>
            <w:bottom w:w="0" w:type="dxa"/>
            <w:right w:w="108" w:type="dxa"/>
          </w:tblCellMar>
        </w:tblPrEx>
        <w:trPr>
          <w:trHeight w:val="96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群众体育设施维修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湘财教指[2017]14号</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180.00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120.00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《湖南省体育发展专项资金管理办法》、《湖南省全民健身条例》</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市县体育部门</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宁乡县文体中心设备维修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宁乡县文体中心</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炎陵县文体中心场馆维修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8,900.00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8,900.00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2016年</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炎陵县文体中心</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岳阳市体校器材更新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岳阳市体校</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常德市临澧县体育综合训练馆维修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临澧县体育局</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永州市体育局综合训练馆维修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1,100.00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1,100.00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2017年2月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2018年4月</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30.00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永州市体育局</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4-6</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永州市双牌县全民健身中心建设</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1,600.00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1,600.00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2017年3月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2018年3月</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双牌县全民健身中心</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4-7</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邵阳市新宁县体育广场维修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新宁县文体广新局</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4-8</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娄底市体育局全民健身中心体育设施维修</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娄底市全民健身中心</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4-9</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益阳市赫山区体育馆维修</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696.00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696.00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2017年12月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2017年12月</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益阳市赫山区全民健身服务中心</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4-10</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怀化市文体广新局市体育场塑胶场地维修</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11,922.00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11,922.00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2016年8月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2017年8月</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怀化市全民健身服务中心</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4-11</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怀化市靖州县乒羽馆维修</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怀化市文体广新局</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4-12</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张家界市慈利县全民健身中心维修</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1,720.00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xml:space="preserve">     1,720.00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2017年5月</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2017年9月</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10.00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慈利县文体广新局</w:t>
            </w:r>
          </w:p>
        </w:tc>
      </w:tr>
      <w:tr>
        <w:tblPrEx>
          <w:tblLayout w:type="fixed"/>
          <w:tblCellMar>
            <w:top w:w="0" w:type="dxa"/>
            <w:left w:w="108" w:type="dxa"/>
            <w:bottom w:w="0" w:type="dxa"/>
            <w:right w:w="108" w:type="dxa"/>
          </w:tblCellMar>
        </w:tblPrEx>
        <w:trPr>
          <w:trHeight w:val="48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4-13</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古丈县体育馆维修</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古丈县体育局</w:t>
            </w:r>
          </w:p>
        </w:tc>
      </w:tr>
      <w:tr>
        <w:tblPrEx>
          <w:tblLayout w:type="fixed"/>
          <w:tblCellMar>
            <w:top w:w="0" w:type="dxa"/>
            <w:left w:w="108" w:type="dxa"/>
            <w:bottom w:w="0" w:type="dxa"/>
            <w:right w:w="108" w:type="dxa"/>
          </w:tblCellMar>
        </w:tblPrEx>
        <w:trPr>
          <w:trHeight w:val="72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4-14</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保靖县全民健身中心场馆维修</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20.00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保靖县全民健身中心</w:t>
            </w:r>
          </w:p>
        </w:tc>
      </w:tr>
      <w:tr>
        <w:tblPrEx>
          <w:tblLayout w:type="fixed"/>
          <w:tblCellMar>
            <w:top w:w="0" w:type="dxa"/>
            <w:left w:w="108" w:type="dxa"/>
            <w:bottom w:w="0" w:type="dxa"/>
            <w:right w:w="108" w:type="dxa"/>
          </w:tblCellMar>
        </w:tblPrEx>
        <w:trPr>
          <w:trHeight w:val="1200" w:hRule="atLeast"/>
        </w:trPr>
        <w:tc>
          <w:tcPr>
            <w:tcW w:w="70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5</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体育后备人才培养</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湘财教指[2017]14号</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Arial Narrow" w:hAnsi="Arial Narrow" w:cs="宋体"/>
                <w:color w:val="000000"/>
                <w:kern w:val="0"/>
                <w:szCs w:val="21"/>
              </w:rPr>
            </w:pPr>
            <w:r>
              <w:rPr>
                <w:rFonts w:ascii="Arial Narrow" w:hAnsi="Arial Narrow"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500.00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493.77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color w:val="000000"/>
                <w:kern w:val="0"/>
                <w:szCs w:val="21"/>
              </w:rPr>
            </w:pPr>
            <w:r>
              <w:rPr>
                <w:rFonts w:ascii="Arial Narrow" w:hAnsi="Arial Narrow" w:cs="宋体"/>
                <w:color w:val="000000"/>
                <w:kern w:val="0"/>
                <w:szCs w:val="21"/>
              </w:rPr>
              <w:t xml:space="preserve">     6.23 </w:t>
            </w:r>
          </w:p>
        </w:tc>
        <w:tc>
          <w:tcPr>
            <w:tcW w:w="166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《湖南省体育发展专项资金管理办法》、《湖南省体育后备人才培养条例》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青少处、市级后备人才基地</w:t>
            </w:r>
          </w:p>
        </w:tc>
      </w:tr>
      <w:tr>
        <w:tblPrEx>
          <w:tblLayout w:type="fixed"/>
          <w:tblCellMar>
            <w:top w:w="0" w:type="dxa"/>
            <w:left w:w="108" w:type="dxa"/>
            <w:bottom w:w="0" w:type="dxa"/>
            <w:right w:w="108" w:type="dxa"/>
          </w:tblCellMar>
        </w:tblPrEx>
        <w:trPr>
          <w:trHeight w:val="270" w:hRule="atLeast"/>
        </w:trPr>
        <w:tc>
          <w:tcPr>
            <w:tcW w:w="765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 xml:space="preserve">合   计 </w:t>
            </w:r>
          </w:p>
        </w:tc>
        <w:tc>
          <w:tcPr>
            <w:tcW w:w="1276"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b/>
                <w:bCs/>
                <w:color w:val="000000"/>
                <w:kern w:val="0"/>
                <w:szCs w:val="21"/>
              </w:rPr>
            </w:pPr>
            <w:r>
              <w:rPr>
                <w:rFonts w:ascii="Arial Narrow" w:hAnsi="Arial Narrow" w:cs="宋体"/>
                <w:b/>
                <w:bCs/>
                <w:color w:val="000000"/>
                <w:kern w:val="0"/>
                <w:szCs w:val="21"/>
              </w:rPr>
              <w:t xml:space="preserve">  1,721.00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b/>
                <w:bCs/>
                <w:color w:val="000000"/>
                <w:kern w:val="0"/>
                <w:szCs w:val="21"/>
              </w:rPr>
            </w:pPr>
            <w:r>
              <w:rPr>
                <w:rFonts w:ascii="Arial Narrow" w:hAnsi="Arial Narrow" w:cs="宋体"/>
                <w:b/>
                <w:bCs/>
                <w:color w:val="000000"/>
                <w:kern w:val="0"/>
                <w:szCs w:val="21"/>
              </w:rPr>
              <w:t xml:space="preserve"> 1,721.00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b/>
                <w:bCs/>
                <w:color w:val="000000"/>
                <w:kern w:val="0"/>
                <w:szCs w:val="21"/>
              </w:rPr>
            </w:pPr>
            <w:r>
              <w:rPr>
                <w:rFonts w:ascii="Arial Narrow" w:hAnsi="Arial Narrow" w:cs="宋体"/>
                <w:b/>
                <w:bCs/>
                <w:color w:val="000000"/>
                <w:kern w:val="0"/>
                <w:szCs w:val="21"/>
              </w:rPr>
              <w:t xml:space="preserve">  1,353.51 </w:t>
            </w:r>
          </w:p>
        </w:tc>
        <w:tc>
          <w:tcPr>
            <w:tcW w:w="1134" w:type="dxa"/>
            <w:tcBorders>
              <w:top w:val="nil"/>
              <w:left w:val="nil"/>
              <w:bottom w:val="single" w:color="auto" w:sz="4" w:space="0"/>
              <w:right w:val="single" w:color="auto" w:sz="4" w:space="0"/>
            </w:tcBorders>
            <w:shd w:val="clear" w:color="auto" w:fill="auto"/>
            <w:vAlign w:val="center"/>
          </w:tcPr>
          <w:p>
            <w:pPr>
              <w:widowControl/>
              <w:jc w:val="right"/>
              <w:rPr>
                <w:rFonts w:ascii="Arial Narrow" w:hAnsi="Arial Narrow" w:cs="宋体"/>
                <w:b/>
                <w:bCs/>
                <w:color w:val="000000"/>
                <w:kern w:val="0"/>
                <w:szCs w:val="21"/>
              </w:rPr>
            </w:pPr>
            <w:r>
              <w:rPr>
                <w:rFonts w:ascii="Arial Narrow" w:hAnsi="Arial Narrow" w:cs="宋体"/>
                <w:b/>
                <w:bCs/>
                <w:color w:val="000000"/>
                <w:kern w:val="0"/>
                <w:szCs w:val="21"/>
              </w:rPr>
              <w:t xml:space="preserve">  367.49 </w:t>
            </w:r>
          </w:p>
        </w:tc>
        <w:tc>
          <w:tcPr>
            <w:tcW w:w="166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c>
          <w:tcPr>
            <w:tcW w:w="116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bl>
    <w:p>
      <w:pPr>
        <w:tabs>
          <w:tab w:val="left" w:pos="7560"/>
        </w:tabs>
        <w:spacing w:line="700" w:lineRule="exact"/>
        <w:jc w:val="center"/>
        <w:rPr>
          <w:rFonts w:ascii="仿宋_GB2312" w:hAnsi="??" w:eastAsia="仿宋_GB2312" w:cs="宋体"/>
          <w:kern w:val="0"/>
          <w:sz w:val="24"/>
        </w:rPr>
      </w:pPr>
    </w:p>
    <w:p>
      <w:pPr>
        <w:tabs>
          <w:tab w:val="left" w:pos="7560"/>
        </w:tabs>
        <w:spacing w:line="700" w:lineRule="exact"/>
        <w:jc w:val="center"/>
        <w:rPr>
          <w:rFonts w:ascii="仿宋_GB2312" w:hAnsi="??" w:eastAsia="仿宋_GB2312" w:cs="宋体"/>
          <w:kern w:val="0"/>
          <w:sz w:val="24"/>
        </w:rPr>
      </w:pPr>
    </w:p>
    <w:sectPr>
      <w:pgSz w:w="16838" w:h="11906" w:orient="landscape"/>
      <w:pgMar w:top="1588" w:right="2041" w:bottom="1588" w:left="1474" w:header="851" w:footer="1134" w:gutter="0"/>
      <w:pgNumType w:fmt="numberInDash"/>
      <w:cols w:space="0" w:num="1"/>
      <w:docGrid w:type="lines" w:linePitch="286" w:charSpace="79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Arial Narrow">
    <w:panose1 w:val="020B0606020202030204"/>
    <w:charset w:val="00"/>
    <w:family w:val="swiss"/>
    <w:pitch w:val="default"/>
    <w:sig w:usb0="00000287" w:usb1="00000800" w:usb2="00000000" w:usb3="00000000" w:csb0="2000009F" w:csb1="DFD7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MS Mincho">
    <w:panose1 w:val="02020609040205080304"/>
    <w:charset w:val="80"/>
    <w:family w:val="auto"/>
    <w:pitch w:val="default"/>
    <w:sig w:usb0="E00002FF" w:usb1="6AC7FDFB" w:usb2="00000012" w:usb3="00000000" w:csb0="4002009F" w:csb1="DFD70000"/>
  </w:font>
  <w:font w:name="方正小标宋简体">
    <w:altName w:val="Arial Unicode MS"/>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jc w:val="center"/>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15</w:t>
                          </w:r>
                          <w:r>
                            <w:rPr>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7"/>
                      <w:jc w:val="center"/>
                      <w:rPr>
                        <w:sz w:val="32"/>
                        <w:szCs w:val="32"/>
                      </w:rPr>
                    </w:pPr>
                    <w:r>
                      <w:rPr>
                        <w:sz w:val="32"/>
                        <w:szCs w:val="32"/>
                      </w:rPr>
                      <w:fldChar w:fldCharType="begin"/>
                    </w:r>
                    <w:r>
                      <w:rPr>
                        <w:sz w:val="32"/>
                        <w:szCs w:val="32"/>
                      </w:rPr>
                      <w:instrText xml:space="preserve">PAGE   \* MERGEFORMAT</w:instrText>
                    </w:r>
                    <w:r>
                      <w:rPr>
                        <w:sz w:val="32"/>
                        <w:szCs w:val="32"/>
                      </w:rPr>
                      <w:fldChar w:fldCharType="separate"/>
                    </w:r>
                    <w:r>
                      <w:rPr>
                        <w:sz w:val="32"/>
                        <w:szCs w:val="32"/>
                        <w:lang w:val="zh-CN"/>
                      </w:rPr>
                      <w:t>15</w:t>
                    </w:r>
                    <w:r>
                      <w:rPr>
                        <w:sz w:val="32"/>
                        <w:szCs w:val="32"/>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HorizontalSpacing w:val="107"/>
  <w:drawingGridVerticalSpacing w:val="143"/>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73093"/>
    <w:rsid w:val="00002CB9"/>
    <w:rsid w:val="00002F6F"/>
    <w:rsid w:val="00012293"/>
    <w:rsid w:val="00014AB2"/>
    <w:rsid w:val="00027C6A"/>
    <w:rsid w:val="0003031E"/>
    <w:rsid w:val="00034505"/>
    <w:rsid w:val="00035766"/>
    <w:rsid w:val="00036492"/>
    <w:rsid w:val="00036D0D"/>
    <w:rsid w:val="00052E28"/>
    <w:rsid w:val="00060AC3"/>
    <w:rsid w:val="00063DB3"/>
    <w:rsid w:val="00064E4E"/>
    <w:rsid w:val="00072C18"/>
    <w:rsid w:val="00074A20"/>
    <w:rsid w:val="000839C8"/>
    <w:rsid w:val="00091179"/>
    <w:rsid w:val="0009175C"/>
    <w:rsid w:val="000A3DFB"/>
    <w:rsid w:val="000D2E28"/>
    <w:rsid w:val="000E4E93"/>
    <w:rsid w:val="0011264B"/>
    <w:rsid w:val="00112CCF"/>
    <w:rsid w:val="00113186"/>
    <w:rsid w:val="00115BC6"/>
    <w:rsid w:val="00116971"/>
    <w:rsid w:val="0012677D"/>
    <w:rsid w:val="00130A1D"/>
    <w:rsid w:val="00146E16"/>
    <w:rsid w:val="001512E3"/>
    <w:rsid w:val="00155902"/>
    <w:rsid w:val="00162C74"/>
    <w:rsid w:val="00165C40"/>
    <w:rsid w:val="0016623A"/>
    <w:rsid w:val="001865A4"/>
    <w:rsid w:val="00187DCC"/>
    <w:rsid w:val="00187E7F"/>
    <w:rsid w:val="00195515"/>
    <w:rsid w:val="001957A3"/>
    <w:rsid w:val="0019722B"/>
    <w:rsid w:val="001B4A13"/>
    <w:rsid w:val="001B4FCD"/>
    <w:rsid w:val="001D049D"/>
    <w:rsid w:val="001D7E7A"/>
    <w:rsid w:val="001E4CBB"/>
    <w:rsid w:val="001E7743"/>
    <w:rsid w:val="001F1CEE"/>
    <w:rsid w:val="001F3392"/>
    <w:rsid w:val="001F6DC9"/>
    <w:rsid w:val="00214488"/>
    <w:rsid w:val="00224E42"/>
    <w:rsid w:val="00225A22"/>
    <w:rsid w:val="00226A9E"/>
    <w:rsid w:val="00226B53"/>
    <w:rsid w:val="00267B56"/>
    <w:rsid w:val="0027617A"/>
    <w:rsid w:val="0027788F"/>
    <w:rsid w:val="00281065"/>
    <w:rsid w:val="002A6BED"/>
    <w:rsid w:val="002C0EF5"/>
    <w:rsid w:val="002E4E6B"/>
    <w:rsid w:val="002F03BF"/>
    <w:rsid w:val="002F49CC"/>
    <w:rsid w:val="00303E66"/>
    <w:rsid w:val="00304896"/>
    <w:rsid w:val="003066A3"/>
    <w:rsid w:val="00311647"/>
    <w:rsid w:val="003130CB"/>
    <w:rsid w:val="00320E7C"/>
    <w:rsid w:val="00330F93"/>
    <w:rsid w:val="0033132E"/>
    <w:rsid w:val="00337C96"/>
    <w:rsid w:val="00340C20"/>
    <w:rsid w:val="00342AF3"/>
    <w:rsid w:val="00360645"/>
    <w:rsid w:val="00363812"/>
    <w:rsid w:val="003711A1"/>
    <w:rsid w:val="003771B0"/>
    <w:rsid w:val="00381B04"/>
    <w:rsid w:val="00397CD0"/>
    <w:rsid w:val="003A320F"/>
    <w:rsid w:val="003A4F91"/>
    <w:rsid w:val="003A714E"/>
    <w:rsid w:val="003B0A47"/>
    <w:rsid w:val="003B4114"/>
    <w:rsid w:val="003C7DAF"/>
    <w:rsid w:val="003E4C97"/>
    <w:rsid w:val="003F094D"/>
    <w:rsid w:val="003F2677"/>
    <w:rsid w:val="00405125"/>
    <w:rsid w:val="00406C57"/>
    <w:rsid w:val="004206CC"/>
    <w:rsid w:val="004302AD"/>
    <w:rsid w:val="004367E0"/>
    <w:rsid w:val="004503F0"/>
    <w:rsid w:val="00453387"/>
    <w:rsid w:val="00455A24"/>
    <w:rsid w:val="00462DFB"/>
    <w:rsid w:val="00463200"/>
    <w:rsid w:val="004729F8"/>
    <w:rsid w:val="00473F0A"/>
    <w:rsid w:val="004900D4"/>
    <w:rsid w:val="0049796D"/>
    <w:rsid w:val="004A0AEF"/>
    <w:rsid w:val="004B2A4F"/>
    <w:rsid w:val="004B64B3"/>
    <w:rsid w:val="004C1FF9"/>
    <w:rsid w:val="004C7B8A"/>
    <w:rsid w:val="004D39B2"/>
    <w:rsid w:val="004D468A"/>
    <w:rsid w:val="004E737A"/>
    <w:rsid w:val="004F04B7"/>
    <w:rsid w:val="004F78F6"/>
    <w:rsid w:val="00502EB8"/>
    <w:rsid w:val="00507464"/>
    <w:rsid w:val="00507A93"/>
    <w:rsid w:val="005237E8"/>
    <w:rsid w:val="00531461"/>
    <w:rsid w:val="00531962"/>
    <w:rsid w:val="005341F5"/>
    <w:rsid w:val="00553C89"/>
    <w:rsid w:val="00563DA0"/>
    <w:rsid w:val="0057113A"/>
    <w:rsid w:val="00574948"/>
    <w:rsid w:val="00596A87"/>
    <w:rsid w:val="005A146B"/>
    <w:rsid w:val="005A328D"/>
    <w:rsid w:val="005B6A65"/>
    <w:rsid w:val="005C5FC3"/>
    <w:rsid w:val="005E5DED"/>
    <w:rsid w:val="005F2500"/>
    <w:rsid w:val="005F5DC4"/>
    <w:rsid w:val="0060074C"/>
    <w:rsid w:val="00610609"/>
    <w:rsid w:val="00612468"/>
    <w:rsid w:val="00622DE3"/>
    <w:rsid w:val="006301A2"/>
    <w:rsid w:val="0064431C"/>
    <w:rsid w:val="0064606C"/>
    <w:rsid w:val="00647804"/>
    <w:rsid w:val="00650C5F"/>
    <w:rsid w:val="00656EE0"/>
    <w:rsid w:val="0066256A"/>
    <w:rsid w:val="0066604C"/>
    <w:rsid w:val="0067157E"/>
    <w:rsid w:val="0067337A"/>
    <w:rsid w:val="00681159"/>
    <w:rsid w:val="00686214"/>
    <w:rsid w:val="0069556E"/>
    <w:rsid w:val="006A206A"/>
    <w:rsid w:val="006A7AA3"/>
    <w:rsid w:val="006C10FB"/>
    <w:rsid w:val="006D23A3"/>
    <w:rsid w:val="006D70F7"/>
    <w:rsid w:val="006F4539"/>
    <w:rsid w:val="006F519B"/>
    <w:rsid w:val="00712A41"/>
    <w:rsid w:val="00721524"/>
    <w:rsid w:val="00722D75"/>
    <w:rsid w:val="00725E78"/>
    <w:rsid w:val="00733254"/>
    <w:rsid w:val="00742DE9"/>
    <w:rsid w:val="00790BCB"/>
    <w:rsid w:val="007D54F4"/>
    <w:rsid w:val="007E1249"/>
    <w:rsid w:val="007E6C85"/>
    <w:rsid w:val="007F4310"/>
    <w:rsid w:val="007F6373"/>
    <w:rsid w:val="008000C6"/>
    <w:rsid w:val="00801595"/>
    <w:rsid w:val="00803A35"/>
    <w:rsid w:val="00813163"/>
    <w:rsid w:val="008221A4"/>
    <w:rsid w:val="00822C6F"/>
    <w:rsid w:val="00823980"/>
    <w:rsid w:val="00825F69"/>
    <w:rsid w:val="00833AF0"/>
    <w:rsid w:val="00835CEC"/>
    <w:rsid w:val="008409AC"/>
    <w:rsid w:val="00850940"/>
    <w:rsid w:val="008561FB"/>
    <w:rsid w:val="00861908"/>
    <w:rsid w:val="00866E24"/>
    <w:rsid w:val="0088549E"/>
    <w:rsid w:val="008924F0"/>
    <w:rsid w:val="008928C2"/>
    <w:rsid w:val="0089569C"/>
    <w:rsid w:val="008A1B57"/>
    <w:rsid w:val="008A6EE6"/>
    <w:rsid w:val="008B10E6"/>
    <w:rsid w:val="008C1930"/>
    <w:rsid w:val="008C5A93"/>
    <w:rsid w:val="008D3004"/>
    <w:rsid w:val="008E0914"/>
    <w:rsid w:val="008E249E"/>
    <w:rsid w:val="008E6CB8"/>
    <w:rsid w:val="008F38D3"/>
    <w:rsid w:val="008F6C63"/>
    <w:rsid w:val="00903CAE"/>
    <w:rsid w:val="009045B4"/>
    <w:rsid w:val="009048AE"/>
    <w:rsid w:val="00913DC7"/>
    <w:rsid w:val="00913ED0"/>
    <w:rsid w:val="00914DC8"/>
    <w:rsid w:val="00923ECD"/>
    <w:rsid w:val="00925666"/>
    <w:rsid w:val="009267FB"/>
    <w:rsid w:val="0093659E"/>
    <w:rsid w:val="00937665"/>
    <w:rsid w:val="0094580C"/>
    <w:rsid w:val="00961DE4"/>
    <w:rsid w:val="0096619E"/>
    <w:rsid w:val="009710B1"/>
    <w:rsid w:val="009738F7"/>
    <w:rsid w:val="00985E5A"/>
    <w:rsid w:val="009879DE"/>
    <w:rsid w:val="00993591"/>
    <w:rsid w:val="00997207"/>
    <w:rsid w:val="009973D9"/>
    <w:rsid w:val="00997C1F"/>
    <w:rsid w:val="009A3132"/>
    <w:rsid w:val="009B6FED"/>
    <w:rsid w:val="009C12B2"/>
    <w:rsid w:val="009E6703"/>
    <w:rsid w:val="009F1A10"/>
    <w:rsid w:val="00A022F2"/>
    <w:rsid w:val="00A0673C"/>
    <w:rsid w:val="00A12B06"/>
    <w:rsid w:val="00A33B66"/>
    <w:rsid w:val="00A34675"/>
    <w:rsid w:val="00A44DC5"/>
    <w:rsid w:val="00A45987"/>
    <w:rsid w:val="00A66F1B"/>
    <w:rsid w:val="00A732AA"/>
    <w:rsid w:val="00A76348"/>
    <w:rsid w:val="00A820C3"/>
    <w:rsid w:val="00A84DB7"/>
    <w:rsid w:val="00A91F58"/>
    <w:rsid w:val="00AA114F"/>
    <w:rsid w:val="00AC68F9"/>
    <w:rsid w:val="00AD1C51"/>
    <w:rsid w:val="00AE1F29"/>
    <w:rsid w:val="00AE4C9A"/>
    <w:rsid w:val="00B06383"/>
    <w:rsid w:val="00B10B65"/>
    <w:rsid w:val="00B30D90"/>
    <w:rsid w:val="00B3273B"/>
    <w:rsid w:val="00B44B35"/>
    <w:rsid w:val="00B50C90"/>
    <w:rsid w:val="00B60EB3"/>
    <w:rsid w:val="00B67240"/>
    <w:rsid w:val="00B73017"/>
    <w:rsid w:val="00B75C5D"/>
    <w:rsid w:val="00B91175"/>
    <w:rsid w:val="00B91DD2"/>
    <w:rsid w:val="00BA56DA"/>
    <w:rsid w:val="00BA7D6A"/>
    <w:rsid w:val="00BB3868"/>
    <w:rsid w:val="00BB50AF"/>
    <w:rsid w:val="00BC505D"/>
    <w:rsid w:val="00BC53A4"/>
    <w:rsid w:val="00BD51B2"/>
    <w:rsid w:val="00BE6797"/>
    <w:rsid w:val="00BF5A0E"/>
    <w:rsid w:val="00BF6546"/>
    <w:rsid w:val="00BF72B2"/>
    <w:rsid w:val="00C203AE"/>
    <w:rsid w:val="00C353B6"/>
    <w:rsid w:val="00C542B1"/>
    <w:rsid w:val="00C5484D"/>
    <w:rsid w:val="00C578C3"/>
    <w:rsid w:val="00CA4A64"/>
    <w:rsid w:val="00CE1335"/>
    <w:rsid w:val="00CE14D3"/>
    <w:rsid w:val="00CE7D9E"/>
    <w:rsid w:val="00D037DA"/>
    <w:rsid w:val="00D056F9"/>
    <w:rsid w:val="00D07669"/>
    <w:rsid w:val="00D100B8"/>
    <w:rsid w:val="00D179BD"/>
    <w:rsid w:val="00D246D6"/>
    <w:rsid w:val="00D31DC5"/>
    <w:rsid w:val="00D36DA8"/>
    <w:rsid w:val="00D406CA"/>
    <w:rsid w:val="00D4186C"/>
    <w:rsid w:val="00D42F37"/>
    <w:rsid w:val="00D55923"/>
    <w:rsid w:val="00D9290D"/>
    <w:rsid w:val="00DD0575"/>
    <w:rsid w:val="00DE09B3"/>
    <w:rsid w:val="00DE5474"/>
    <w:rsid w:val="00DF449E"/>
    <w:rsid w:val="00E07B54"/>
    <w:rsid w:val="00E13086"/>
    <w:rsid w:val="00E20B02"/>
    <w:rsid w:val="00E215E4"/>
    <w:rsid w:val="00E46886"/>
    <w:rsid w:val="00E475F1"/>
    <w:rsid w:val="00E501CA"/>
    <w:rsid w:val="00E6332D"/>
    <w:rsid w:val="00E73ECF"/>
    <w:rsid w:val="00E83531"/>
    <w:rsid w:val="00E83A15"/>
    <w:rsid w:val="00E87412"/>
    <w:rsid w:val="00E93491"/>
    <w:rsid w:val="00E9625E"/>
    <w:rsid w:val="00E968D8"/>
    <w:rsid w:val="00EA4ACD"/>
    <w:rsid w:val="00EA5DF6"/>
    <w:rsid w:val="00EB4517"/>
    <w:rsid w:val="00EB5EA9"/>
    <w:rsid w:val="00EC1761"/>
    <w:rsid w:val="00EC5A71"/>
    <w:rsid w:val="00ED403E"/>
    <w:rsid w:val="00ED48AF"/>
    <w:rsid w:val="00ED6547"/>
    <w:rsid w:val="00EE100B"/>
    <w:rsid w:val="00EE3009"/>
    <w:rsid w:val="00EF0888"/>
    <w:rsid w:val="00EF57C3"/>
    <w:rsid w:val="00F06403"/>
    <w:rsid w:val="00F11869"/>
    <w:rsid w:val="00F12F5D"/>
    <w:rsid w:val="00F143E7"/>
    <w:rsid w:val="00F15693"/>
    <w:rsid w:val="00F20EC1"/>
    <w:rsid w:val="00F31B2A"/>
    <w:rsid w:val="00F449E3"/>
    <w:rsid w:val="00F45BFA"/>
    <w:rsid w:val="00F5332E"/>
    <w:rsid w:val="00F6119F"/>
    <w:rsid w:val="00F644B4"/>
    <w:rsid w:val="00F90447"/>
    <w:rsid w:val="00F9683E"/>
    <w:rsid w:val="00FB1BE8"/>
    <w:rsid w:val="00FB4A4D"/>
    <w:rsid w:val="00FC00D5"/>
    <w:rsid w:val="00FC7074"/>
    <w:rsid w:val="00FE244C"/>
    <w:rsid w:val="00FE3306"/>
    <w:rsid w:val="00FE4926"/>
    <w:rsid w:val="032F388C"/>
    <w:rsid w:val="0DC571AD"/>
    <w:rsid w:val="1FE07303"/>
    <w:rsid w:val="212451F8"/>
    <w:rsid w:val="281C77C8"/>
    <w:rsid w:val="2D276DA2"/>
    <w:rsid w:val="4B973093"/>
    <w:rsid w:val="51512184"/>
    <w:rsid w:val="58A51142"/>
    <w:rsid w:val="5B512C8C"/>
    <w:rsid w:val="607A2615"/>
    <w:rsid w:val="6D2E695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99"/>
    <w:pPr>
      <w:keepNext/>
      <w:keepLines/>
      <w:spacing w:line="576" w:lineRule="auto"/>
      <w:outlineLvl w:val="0"/>
    </w:pPr>
    <w:rPr>
      <w:b/>
      <w:bCs/>
      <w:kern w:val="44"/>
      <w:sz w:val="44"/>
      <w:szCs w:val="44"/>
    </w:rPr>
  </w:style>
  <w:style w:type="paragraph" w:styleId="3">
    <w:name w:val="heading 3"/>
    <w:basedOn w:val="1"/>
    <w:next w:val="1"/>
    <w:link w:val="17"/>
    <w:semiHidden/>
    <w:unhideWhenUsed/>
    <w:qFormat/>
    <w:locked/>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4"/>
    <w:semiHidden/>
    <w:unhideWhenUsed/>
    <w:qFormat/>
    <w:uiPriority w:val="99"/>
    <w:rPr>
      <w:b/>
      <w:bCs/>
    </w:rPr>
  </w:style>
  <w:style w:type="paragraph" w:styleId="5">
    <w:name w:val="annotation text"/>
    <w:basedOn w:val="1"/>
    <w:link w:val="23"/>
    <w:semiHidden/>
    <w:unhideWhenUsed/>
    <w:qFormat/>
    <w:uiPriority w:val="99"/>
    <w:pPr>
      <w:jc w:val="left"/>
    </w:pPr>
  </w:style>
  <w:style w:type="paragraph" w:styleId="6">
    <w:name w:val="Balloon Text"/>
    <w:basedOn w:val="1"/>
    <w:link w:val="25"/>
    <w:semiHidden/>
    <w:unhideWhenUsed/>
    <w:qFormat/>
    <w:uiPriority w:val="99"/>
    <w:rPr>
      <w:sz w:val="18"/>
      <w:szCs w:val="18"/>
    </w:rPr>
  </w:style>
  <w:style w:type="paragraph" w:styleId="7">
    <w:name w:val="footer"/>
    <w:basedOn w:val="1"/>
    <w:link w:val="18"/>
    <w:qFormat/>
    <w:uiPriority w:val="99"/>
    <w:pPr>
      <w:tabs>
        <w:tab w:val="center" w:pos="4153"/>
        <w:tab w:val="right" w:pos="8306"/>
      </w:tabs>
      <w:snapToGrid w:val="0"/>
      <w:jc w:val="left"/>
    </w:pPr>
    <w:rPr>
      <w:rFonts w:ascii="宋体" w:hAnsi="宋体"/>
      <w:sz w:val="18"/>
      <w:szCs w:val="18"/>
    </w:rPr>
  </w:style>
  <w:style w:type="paragraph" w:styleId="8">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99"/>
    <w:pPr>
      <w:tabs>
        <w:tab w:val="right" w:leader="dot" w:pos="8778"/>
      </w:tabs>
      <w:jc w:val="left"/>
    </w:pPr>
    <w:rPr>
      <w:rFonts w:ascii="??_GB2312" w:eastAsia="Times New Roman"/>
      <w:b/>
      <w:caps/>
      <w:color w:val="000000"/>
      <w:sz w:val="36"/>
      <w:szCs w:val="20"/>
    </w:rPr>
  </w:style>
  <w:style w:type="paragraph" w:styleId="10">
    <w:name w:val="Subtitle"/>
    <w:basedOn w:val="1"/>
    <w:next w:val="1"/>
    <w:link w:val="20"/>
    <w:qFormat/>
    <w:uiPriority w:val="99"/>
    <w:pPr>
      <w:spacing w:line="312" w:lineRule="auto"/>
      <w:jc w:val="center"/>
      <w:outlineLvl w:val="1"/>
    </w:pPr>
    <w:rPr>
      <w:rFonts w:ascii="Cambria" w:hAnsi="Cambria"/>
      <w:b/>
      <w:bCs/>
      <w:kern w:val="28"/>
      <w:sz w:val="32"/>
      <w:szCs w:val="32"/>
    </w:rPr>
  </w:style>
  <w:style w:type="paragraph" w:styleId="11">
    <w:name w:val="Normal (Web)"/>
    <w:basedOn w:val="1"/>
    <w:qFormat/>
    <w:uiPriority w:val="99"/>
    <w:pPr>
      <w:jc w:val="left"/>
    </w:pPr>
    <w:rPr>
      <w:kern w:val="0"/>
      <w:sz w:val="24"/>
    </w:rPr>
  </w:style>
  <w:style w:type="character" w:styleId="13">
    <w:name w:val="page number"/>
    <w:qFormat/>
    <w:uiPriority w:val="99"/>
    <w:rPr>
      <w:rFonts w:cs="Times New Roman"/>
    </w:rPr>
  </w:style>
  <w:style w:type="character" w:styleId="14">
    <w:name w:val="annotation reference"/>
    <w:semiHidden/>
    <w:unhideWhenUsed/>
    <w:qFormat/>
    <w:uiPriority w:val="99"/>
    <w:rPr>
      <w:sz w:val="21"/>
      <w:szCs w:val="21"/>
    </w:rPr>
  </w:style>
  <w:style w:type="character" w:customStyle="1" w:styleId="16">
    <w:name w:val="标题 1 Char"/>
    <w:link w:val="2"/>
    <w:qFormat/>
    <w:locked/>
    <w:uiPriority w:val="99"/>
    <w:rPr>
      <w:rFonts w:cs="Times New Roman"/>
      <w:b/>
      <w:bCs/>
      <w:kern w:val="44"/>
      <w:sz w:val="44"/>
      <w:szCs w:val="44"/>
    </w:rPr>
  </w:style>
  <w:style w:type="character" w:customStyle="1" w:styleId="17">
    <w:name w:val="标题 3 Char"/>
    <w:link w:val="3"/>
    <w:uiPriority w:val="9"/>
    <w:rPr>
      <w:b/>
      <w:bCs/>
      <w:kern w:val="2"/>
      <w:sz w:val="32"/>
      <w:szCs w:val="32"/>
    </w:rPr>
  </w:style>
  <w:style w:type="character" w:customStyle="1" w:styleId="18">
    <w:name w:val="页脚 Char"/>
    <w:link w:val="7"/>
    <w:qFormat/>
    <w:locked/>
    <w:uiPriority w:val="99"/>
    <w:rPr>
      <w:rFonts w:cs="Times New Roman"/>
      <w:sz w:val="18"/>
      <w:szCs w:val="18"/>
    </w:rPr>
  </w:style>
  <w:style w:type="character" w:customStyle="1" w:styleId="19">
    <w:name w:val="页眉 Char"/>
    <w:link w:val="8"/>
    <w:semiHidden/>
    <w:locked/>
    <w:uiPriority w:val="99"/>
    <w:rPr>
      <w:rFonts w:cs="Times New Roman"/>
      <w:sz w:val="18"/>
      <w:szCs w:val="18"/>
    </w:rPr>
  </w:style>
  <w:style w:type="character" w:customStyle="1" w:styleId="20">
    <w:name w:val="副标题 Char"/>
    <w:link w:val="10"/>
    <w:qFormat/>
    <w:locked/>
    <w:uiPriority w:val="99"/>
    <w:rPr>
      <w:rFonts w:ascii="Cambria" w:hAnsi="Cambria" w:cs="Times New Roman"/>
      <w:b/>
      <w:bCs/>
      <w:kern w:val="28"/>
      <w:sz w:val="32"/>
      <w:szCs w:val="32"/>
    </w:rPr>
  </w:style>
  <w:style w:type="paragraph" w:customStyle="1" w:styleId="21">
    <w:name w:val="p0"/>
    <w:basedOn w:val="1"/>
    <w:qFormat/>
    <w:uiPriority w:val="99"/>
    <w:pPr>
      <w:widowControl/>
    </w:pPr>
    <w:rPr>
      <w:kern w:val="0"/>
      <w:sz w:val="32"/>
      <w:szCs w:val="32"/>
    </w:rPr>
  </w:style>
  <w:style w:type="character" w:customStyle="1" w:styleId="22">
    <w:name w:val="font11"/>
    <w:qFormat/>
    <w:uiPriority w:val="99"/>
    <w:rPr>
      <w:rFonts w:ascii="Arial Narrow" w:hAnsi="Arial Narrow" w:cs="Arial Narrow"/>
      <w:color w:val="000000"/>
      <w:sz w:val="21"/>
      <w:szCs w:val="21"/>
      <w:u w:val="none"/>
    </w:rPr>
  </w:style>
  <w:style w:type="character" w:customStyle="1" w:styleId="23">
    <w:name w:val="批注文字 Char"/>
    <w:link w:val="5"/>
    <w:semiHidden/>
    <w:qFormat/>
    <w:uiPriority w:val="99"/>
    <w:rPr>
      <w:kern w:val="2"/>
      <w:sz w:val="21"/>
      <w:szCs w:val="24"/>
    </w:rPr>
  </w:style>
  <w:style w:type="character" w:customStyle="1" w:styleId="24">
    <w:name w:val="批注主题 Char"/>
    <w:link w:val="4"/>
    <w:semiHidden/>
    <w:qFormat/>
    <w:uiPriority w:val="99"/>
    <w:rPr>
      <w:b/>
      <w:bCs/>
      <w:kern w:val="2"/>
      <w:sz w:val="21"/>
      <w:szCs w:val="24"/>
    </w:rPr>
  </w:style>
  <w:style w:type="character" w:customStyle="1" w:styleId="25">
    <w:name w:val="批注框文本 Char"/>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3544</Words>
  <Characters>20204</Characters>
  <Lines>168</Lines>
  <Paragraphs>47</Paragraphs>
  <ScaleCrop>false</ScaleCrop>
  <LinksUpToDate>false</LinksUpToDate>
  <CharactersWithSpaces>23701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2017-06-19T04:03:00Z</dcterms:created>
  <dc:creator>Mengda</dc:creator>
  <cp:lastModifiedBy>Administrator</cp:lastModifiedBy>
  <cp:lastPrinted>2018-05-08T08:34:00Z</cp:lastPrinted>
  <dcterms:modified xsi:type="dcterms:W3CDTF">2018-05-10T08:00:17Z</dcterms:modified>
  <dc:title>湘体经字〔2017〕19号</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