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w:t>
      </w:r>
    </w:p>
    <w:p>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采购清单及参数要求</w:t>
      </w:r>
    </w:p>
    <w:p>
      <w:pPr>
        <w:numPr>
          <w:ilvl w:val="0"/>
          <w:numId w:val="0"/>
        </w:numPr>
        <w:rPr>
          <w:rStyle w:val="8"/>
          <w:rFonts w:hint="eastAsia" w:ascii="仿宋_GB2312" w:hAnsi="仿宋_GB2312" w:eastAsia="仿宋_GB2312" w:cs="仿宋_GB2312"/>
          <w:b w:val="0"/>
          <w:bCs/>
          <w:kern w:val="0"/>
          <w:sz w:val="32"/>
          <w:szCs w:val="32"/>
          <w:lang w:val="en" w:eastAsia="zh-CN" w:bidi="ar"/>
        </w:rPr>
      </w:pPr>
      <w:r>
        <w:rPr>
          <w:rStyle w:val="8"/>
          <w:rFonts w:hint="eastAsia" w:ascii="方正黑体_GBK" w:hAnsi="方正黑体_GBK" w:eastAsia="方正黑体_GBK" w:cs="方正黑体_GBK"/>
          <w:b w:val="0"/>
          <w:bCs/>
          <w:kern w:val="0"/>
          <w:sz w:val="32"/>
          <w:szCs w:val="32"/>
          <w:lang w:val="en" w:eastAsia="zh-CN" w:bidi="ar"/>
        </w:rPr>
        <w:t>一、采购内容：</w:t>
      </w:r>
      <w:r>
        <w:rPr>
          <w:rStyle w:val="8"/>
          <w:rFonts w:hint="eastAsia" w:ascii="仿宋_GB2312" w:hAnsi="仿宋_GB2312" w:eastAsia="仿宋_GB2312" w:cs="仿宋_GB2312"/>
          <w:b w:val="0"/>
          <w:bCs/>
          <w:kern w:val="0"/>
          <w:sz w:val="32"/>
          <w:szCs w:val="32"/>
          <w:lang w:val="en" w:eastAsia="zh-CN" w:bidi="ar"/>
        </w:rPr>
        <w:t>制定湖南省全民健身实施计划（2026-2030年）</w:t>
      </w:r>
    </w:p>
    <w:p>
      <w:pPr>
        <w:pStyle w:val="2"/>
        <w:numPr>
          <w:ilvl w:val="0"/>
          <w:numId w:val="0"/>
        </w:numPr>
        <w:outlineLvl w:val="1"/>
        <w:rPr>
          <w:rStyle w:val="8"/>
          <w:rFonts w:hint="default" w:ascii="方正黑体_GBK" w:hAnsi="方正黑体_GBK" w:eastAsia="方正黑体_GBK" w:cs="方正黑体_GBK"/>
          <w:b w:val="0"/>
          <w:bCs/>
          <w:kern w:val="0"/>
          <w:sz w:val="32"/>
          <w:szCs w:val="32"/>
          <w:lang w:val="en" w:eastAsia="zh-CN" w:bidi="ar"/>
        </w:rPr>
      </w:pPr>
      <w:r>
        <w:rPr>
          <w:rStyle w:val="8"/>
          <w:rFonts w:hint="eastAsia" w:ascii="方正黑体_GBK" w:hAnsi="方正黑体_GBK" w:eastAsia="方正黑体_GBK" w:cs="方正黑体_GBK"/>
          <w:b w:val="0"/>
          <w:bCs/>
          <w:kern w:val="0"/>
          <w:sz w:val="32"/>
          <w:szCs w:val="32"/>
          <w:lang w:val="en" w:eastAsia="zh-CN" w:bidi="ar"/>
        </w:rPr>
        <w:t>二、参数要求</w:t>
      </w:r>
    </w:p>
    <w:tbl>
      <w:tblPr>
        <w:tblStyle w:val="11"/>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3554"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参数名称</w:t>
            </w:r>
          </w:p>
        </w:tc>
        <w:tc>
          <w:tcPr>
            <w:tcW w:w="5845" w:type="dxa"/>
            <w:noWrap w:val="0"/>
            <w:vAlign w:val="top"/>
          </w:tcPr>
          <w:p>
            <w:pPr>
              <w:numPr>
                <w:ilvl w:val="0"/>
                <w:numId w:val="0"/>
              </w:numPr>
              <w:jc w:val="center"/>
              <w:rPr>
                <w:rFonts w:hint="eastAsia" w:ascii="仿宋_GB2312" w:eastAsia="仿宋_GB2312"/>
                <w:b w:val="0"/>
                <w:bCs w:val="0"/>
                <w:color w:val="000000"/>
                <w:sz w:val="24"/>
                <w:szCs w:val="24"/>
                <w:vertAlign w:val="baseline"/>
                <w:lang w:val="en-US" w:eastAsia="zh-CN"/>
              </w:rPr>
            </w:pPr>
            <w:r>
              <w:rPr>
                <w:rFonts w:hint="eastAsia" w:ascii="仿宋_GB2312" w:eastAsia="仿宋_GB2312"/>
                <w:b w:val="0"/>
                <w:bCs w:val="0"/>
                <w:color w:val="000000"/>
                <w:sz w:val="24"/>
                <w:szCs w:val="24"/>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trPr>
        <w:tc>
          <w:tcPr>
            <w:tcW w:w="3554" w:type="dxa"/>
            <w:noWrap w:val="0"/>
            <w:vAlign w:val="top"/>
          </w:tcPr>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hAnsi="仿宋_GB2312" w:eastAsia="仿宋_GB2312" w:cs="仿宋_GB2312"/>
                <w:sz w:val="21"/>
                <w:szCs w:val="21"/>
                <w:lang w:val="en-US" w:eastAsia="zh-CN"/>
              </w:rPr>
            </w:pPr>
          </w:p>
          <w:p>
            <w:pPr>
              <w:numPr>
                <w:ilvl w:val="0"/>
                <w:numId w:val="0"/>
              </w:numPr>
              <w:rPr>
                <w:rFonts w:hint="eastAsia" w:ascii="仿宋_GB2312" w:eastAsia="仿宋_GB2312"/>
                <w:b w:val="0"/>
                <w:bCs w:val="0"/>
                <w:color w:val="000000"/>
                <w:sz w:val="28"/>
                <w:szCs w:val="28"/>
                <w:vertAlign w:val="baseline"/>
                <w:lang w:val="en-US" w:eastAsia="zh-CN"/>
              </w:rPr>
            </w:pPr>
            <w:r>
              <w:rPr>
                <w:rFonts w:hint="eastAsia" w:ascii="仿宋_GB2312" w:hAnsi="仿宋_GB2312" w:eastAsia="仿宋_GB2312" w:cs="仿宋_GB2312"/>
                <w:sz w:val="21"/>
                <w:szCs w:val="21"/>
                <w:lang w:val="en-US" w:eastAsia="zh-CN"/>
              </w:rPr>
              <w:t>湖南省全民健身实施计划（2026-2030年）制定项目</w:t>
            </w:r>
          </w:p>
        </w:tc>
        <w:tc>
          <w:tcPr>
            <w:tcW w:w="5845" w:type="dxa"/>
            <w:noWrap w:val="0"/>
            <w:vAlign w:val="top"/>
          </w:tcPr>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1.专项调研（通过查询文献、实地调研等方式，赴至少3个市州调研，广泛征求职能部门、基层代表、专家学者的意见，组织相关领域专家和社会人士进行专题研讨、论证，形成调研报告）</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2.规划编制，并完成对应的起草说明、参阅资料汇编、图文方式政策解读等，2026年2月底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3.规划征求意见，2026年3月底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4.规划专家评审，2026年3月底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5.规划完善，2026年4月底</w:t>
            </w:r>
          </w:p>
          <w:p>
            <w:pPr>
              <w:keepNext w:val="0"/>
              <w:keepLines w:val="0"/>
              <w:widowControl/>
              <w:numPr>
                <w:ilvl w:val="0"/>
                <w:numId w:val="0"/>
              </w:numPr>
              <w:suppressLineNumbers w:val="0"/>
              <w:spacing w:before="0" w:beforeAutospacing="0" w:after="0" w:afterAutospacing="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6.规划报批发布的基础工作，2026年4月底</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7.相关工作事宜，2026年6月底</w:t>
            </w:r>
          </w:p>
          <w:p>
            <w:pPr>
              <w:numPr>
                <w:ilvl w:val="0"/>
                <w:numId w:val="0"/>
              </w:num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8.能根据采购方要求，及时响应并独立完成以上工作</w:t>
            </w:r>
          </w:p>
          <w:p>
            <w:pPr>
              <w:numPr>
                <w:ilvl w:val="0"/>
                <w:numId w:val="0"/>
              </w:numPr>
              <w:rPr>
                <w:rFonts w:hint="default"/>
                <w:lang w:val="en" w:eastAsia="zh-CN"/>
              </w:rPr>
            </w:pPr>
            <w:r>
              <w:rPr>
                <w:rFonts w:hint="eastAsia" w:ascii="仿宋_GB2312" w:hAnsi="仿宋_GB2312" w:eastAsia="仿宋_GB2312" w:cs="仿宋_GB2312"/>
                <w:kern w:val="2"/>
                <w:sz w:val="21"/>
                <w:szCs w:val="21"/>
                <w:lang w:val="en-US" w:eastAsia="zh-CN" w:bidi="ar"/>
              </w:rPr>
              <w:t>要求与《全民健身计划（2026-2030年）》、我省的体育</w:t>
            </w:r>
            <w:r>
              <w:rPr>
                <w:rFonts w:hint="default" w:ascii="仿宋_GB2312" w:hAnsi="仿宋_GB2312" w:eastAsia="仿宋_GB2312" w:cs="仿宋_GB2312"/>
                <w:kern w:val="2"/>
                <w:sz w:val="21"/>
                <w:szCs w:val="21"/>
                <w:lang w:val="en" w:eastAsia="zh-CN" w:bidi="ar"/>
              </w:rPr>
              <w:t>发展十五五</w:t>
            </w:r>
            <w:r>
              <w:rPr>
                <w:rFonts w:hint="eastAsia" w:ascii="仿宋_GB2312" w:hAnsi="仿宋_GB2312" w:eastAsia="仿宋_GB2312" w:cs="仿宋_GB2312"/>
                <w:kern w:val="2"/>
                <w:sz w:val="21"/>
                <w:szCs w:val="21"/>
                <w:lang w:val="en-US" w:eastAsia="zh-CN" w:bidi="ar"/>
              </w:rPr>
              <w:t>规划相契合。</w:t>
            </w:r>
          </w:p>
        </w:tc>
      </w:tr>
    </w:tbl>
    <w:p>
      <w:pPr>
        <w:numPr>
          <w:ilvl w:val="0"/>
          <w:numId w:val="1"/>
        </w:numPr>
        <w:rPr>
          <w:rStyle w:val="8"/>
          <w:rFonts w:hint="eastAsia" w:ascii="方正黑体_GBK" w:hAnsi="方正黑体_GBK" w:eastAsia="方正黑体_GBK" w:cs="方正黑体_GBK"/>
          <w:b w:val="0"/>
          <w:bCs/>
          <w:kern w:val="0"/>
          <w:sz w:val="32"/>
          <w:szCs w:val="32"/>
          <w:lang w:val="en-US" w:eastAsia="zh-CN" w:bidi="ar"/>
        </w:rPr>
      </w:pPr>
      <w:r>
        <w:rPr>
          <w:rStyle w:val="8"/>
          <w:rFonts w:hint="eastAsia" w:ascii="方正黑体_GBK" w:hAnsi="方正黑体_GBK" w:eastAsia="方正黑体_GBK" w:cs="方正黑体_GBK"/>
          <w:b w:val="0"/>
          <w:bCs/>
          <w:kern w:val="0"/>
          <w:sz w:val="32"/>
          <w:szCs w:val="32"/>
          <w:lang w:val="en-US" w:eastAsia="zh-CN" w:bidi="ar"/>
        </w:rPr>
        <w:t>其他要求</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自合同签订之日起至2026年</w:t>
      </w:r>
      <w:r>
        <w:rPr>
          <w:rFonts w:hint="default" w:ascii="仿宋" w:hAnsi="仿宋" w:eastAsia="仿宋" w:cs="仿宋"/>
          <w:kern w:val="0"/>
          <w:sz w:val="28"/>
          <w:szCs w:val="28"/>
          <w:lang w:val="en" w:eastAsia="zh-CN" w:bidi="ar"/>
        </w:rPr>
        <w:t>12</w:t>
      </w:r>
      <w:r>
        <w:rPr>
          <w:rFonts w:hint="eastAsia" w:ascii="仿宋" w:hAnsi="仿宋" w:eastAsia="仿宋" w:cs="仿宋"/>
          <w:kern w:val="0"/>
          <w:sz w:val="28"/>
          <w:szCs w:val="28"/>
          <w:lang w:val="en" w:eastAsia="zh-CN" w:bidi="ar"/>
        </w:rPr>
        <w:t>月前</w:t>
      </w:r>
      <w:r>
        <w:rPr>
          <w:rFonts w:hint="eastAsia" w:ascii="仿宋" w:hAnsi="仿宋" w:eastAsia="仿宋" w:cs="仿宋"/>
          <w:kern w:val="0"/>
          <w:sz w:val="28"/>
          <w:szCs w:val="28"/>
          <w:lang w:val="en-US" w:eastAsia="zh-CN" w:bidi="ar"/>
        </w:rPr>
        <w:t>完成所有服务及验收，各单项工作完成时间按前述参数要求执行。</w:t>
      </w:r>
    </w:p>
    <w:p>
      <w:pPr>
        <w:numPr>
          <w:ilvl w:val="0"/>
          <w:numId w:val="2"/>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本项目采用费用包干方式，供应商应根据项目要求及需要，详细列明项目所需的所有费用，应包括完成合同范围的全部工作内容所发生的全部费用——人工、管理、财务、后续服务等所有费用。签订合同后，如在项目实施中出现任何遗漏，均由成交供应商免费提供，采购人不再支付除成交金额以外的任何费用。</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本项目服务过程中产生的包括但不限于专家评审费、论证咨询费、会务服务费、外出学习考察、调研费、资料汇编印刷费、听证费、交通保障费等一切费用均由成交供应商承担，供应商在报价时应充分考虑。</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vertAlign w:val="baseline"/>
          <w:lang w:val="en-US" w:eastAsia="zh-CN" w:bidi="ar"/>
        </w:rPr>
        <w:t>合同价款不超过15万元,2026年12月底前根据验收及财政资金到账情况支付全部款项。</w:t>
      </w:r>
    </w:p>
    <w:p>
      <w:pPr>
        <w:numPr>
          <w:ilvl w:val="0"/>
          <w:numId w:val="2"/>
        </w:num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供应商要求</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（1）供应商应具有综合规划研究能力</w:t>
      </w:r>
      <w:r>
        <w:rPr>
          <w:rFonts w:hint="eastAsia" w:ascii="仿宋" w:hAnsi="仿宋" w:eastAsia="仿宋" w:cs="仿宋"/>
          <w:b/>
          <w:bCs/>
          <w:kern w:val="0"/>
          <w:sz w:val="28"/>
          <w:szCs w:val="28"/>
          <w:lang w:val="en-US" w:eastAsia="zh-CN" w:bidi="ar"/>
        </w:rPr>
        <w:t>（需提供包括但不限于供应商介绍、组织架构、人员配备、历史情况等资料）</w:t>
      </w:r>
      <w:r>
        <w:rPr>
          <w:rFonts w:hint="eastAsia" w:ascii="仿宋" w:hAnsi="仿宋" w:eastAsia="仿宋" w:cs="仿宋"/>
          <w:kern w:val="0"/>
          <w:sz w:val="28"/>
          <w:szCs w:val="28"/>
          <w:lang w:val="en-US" w:eastAsia="zh-CN" w:bidi="ar"/>
        </w:rPr>
        <w:t>。</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（2）供应商本项目负责人需具备以下工作能力：</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自2020年以来牵头编制地市级以上体育行政部门五年发展规划项目2次以上。</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b/>
          <w:bCs/>
          <w:kern w:val="0"/>
          <w:sz w:val="28"/>
          <w:szCs w:val="28"/>
          <w:lang w:val="en-US" w:eastAsia="zh-CN" w:bidi="ar"/>
        </w:rPr>
        <w:t>（“牵头”指的是曾担任项目团队负责人或者未明确负责人的项目团队中排第一的成员。“以上”包含本数。均须提供委托合同复印件，并由供应商加盖公章，原件备查，否则视为无效响应）。</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供应商项目团队成员需不少于4人，其中，体育专业正高/副高职称不少于1人，体育学博士学位/研究员不少于1人，经济学、管理学博士学位/研究员不少于2人，以上人员之间不可兼任，且未经采购人书面同意，在合同履行期间以上人员不得更换，否则，视为成交供应商根本违约</w:t>
      </w:r>
      <w:r>
        <w:rPr>
          <w:rFonts w:hint="eastAsia" w:ascii="仿宋" w:hAnsi="仿宋" w:eastAsia="仿宋" w:cs="仿宋"/>
          <w:b/>
          <w:bCs/>
          <w:kern w:val="0"/>
          <w:sz w:val="28"/>
          <w:szCs w:val="28"/>
          <w:lang w:val="en-US" w:eastAsia="zh-CN" w:bidi="ar"/>
        </w:rPr>
        <w:t>（须提供相关证书复印件、学位证书复印件、工作证明并加盖供应商公章，原件备查，否则视为无效响应）。</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（4）供应商项目团队应在规划专项调研、征求意见、专家评审等环节邀请2-3名在体育企业中从事群众体育、青少年体育、体育产业实务工作且不低于5年的管理人员参与。</w:t>
      </w:r>
    </w:p>
    <w:p>
      <w:pPr>
        <w:numPr>
          <w:ilvl w:val="0"/>
          <w:numId w:val="0"/>
        </w:numPr>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（5）供应商团队中正高/副高职称人员和体育学、经济学、管理学博士学位/研究员应至少有2人参与过本条第（2）点明确的项目类型（至少满足1项）（</w:t>
      </w:r>
      <w:r>
        <w:rPr>
          <w:rFonts w:hint="eastAsia" w:ascii="仿宋" w:hAnsi="仿宋" w:eastAsia="仿宋" w:cs="仿宋"/>
          <w:b/>
          <w:bCs/>
          <w:kern w:val="0"/>
          <w:sz w:val="28"/>
          <w:szCs w:val="28"/>
          <w:lang w:val="en-US" w:eastAsia="zh-CN" w:bidi="ar"/>
        </w:rPr>
        <w:t>须提供能证明本人曾经参加过该项目的有效文件，并加盖供应商公章，原件备查，否则视为无效响应</w:t>
      </w:r>
      <w:r>
        <w:rPr>
          <w:rFonts w:hint="eastAsia" w:ascii="仿宋" w:hAnsi="仿宋" w:eastAsia="仿宋" w:cs="仿宋"/>
          <w:kern w:val="0"/>
          <w:sz w:val="28"/>
          <w:szCs w:val="28"/>
          <w:lang w:val="en-US" w:eastAsia="zh-CN" w:bidi="ar"/>
        </w:rPr>
        <w:t>）。</w:t>
      </w:r>
    </w:p>
    <w:p>
      <w:pPr>
        <w:rPr>
          <w:rFonts w:hint="eastAsia" w:ascii="仿宋_GB2312" w:hAnsi="仿宋_GB2312" w:eastAsia="仿宋_GB2312" w:cs="仿宋_GB2312"/>
          <w:kern w:val="0"/>
          <w:sz w:val="32"/>
          <w:szCs w:val="32"/>
          <w:lang w:val="en-US" w:eastAsia="zh-CN" w:bidi="ar"/>
        </w:rPr>
      </w:pPr>
      <w:r>
        <w:rPr>
          <w:rFonts w:hint="eastAsia" w:ascii="仿宋" w:hAnsi="仿宋" w:eastAsia="仿宋" w:cs="仿宋"/>
          <w:kern w:val="0"/>
          <w:sz w:val="28"/>
          <w:szCs w:val="28"/>
          <w:lang w:val="en-US" w:eastAsia="zh-CN" w:bidi="ar"/>
        </w:rPr>
        <w:t>供应商提交的响应文件应要件齐全、规范完整,有完整的服务方案，否则视为无效响应。</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B305B"/>
    <w:multiLevelType w:val="singleLevel"/>
    <w:tmpl w:val="FF7B305B"/>
    <w:lvl w:ilvl="0" w:tentative="0">
      <w:start w:val="1"/>
      <w:numFmt w:val="decimal"/>
      <w:lvlText w:val="%1."/>
      <w:lvlJc w:val="left"/>
      <w:pPr>
        <w:tabs>
          <w:tab w:val="left" w:pos="312"/>
        </w:tabs>
      </w:pPr>
    </w:lvl>
  </w:abstractNum>
  <w:abstractNum w:abstractNumId="1">
    <w:nsid w:val="7FF76D2C"/>
    <w:multiLevelType w:val="singleLevel"/>
    <w:tmpl w:val="7FF76D2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7F54772"/>
    <w:rsid w:val="3C6BE117"/>
    <w:rsid w:val="3EEB100D"/>
    <w:rsid w:val="57F54772"/>
    <w:rsid w:val="57F96CA8"/>
    <w:rsid w:val="58ED6431"/>
    <w:rsid w:val="5C8B130F"/>
    <w:rsid w:val="6B2A0FA3"/>
    <w:rsid w:val="764BC7B5"/>
    <w:rsid w:val="7BFC637A"/>
    <w:rsid w:val="7DFFCB63"/>
    <w:rsid w:val="7FFBCC61"/>
    <w:rsid w:val="DFF77E6A"/>
    <w:rsid w:val="F6FEFE7D"/>
    <w:rsid w:val="F9EBC88F"/>
    <w:rsid w:val="FFD726DC"/>
    <w:rsid w:val="FFDF065D"/>
    <w:rsid w:val="FFDF8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88.6666666666667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2025-10-17T01:30:00Z</dcterms:created>
  <dc:creator>kylin</dc:creator>
  <cp:lastModifiedBy>yx</cp:lastModifiedBy>
  <cp:lastPrinted>2025-11-11T18:11:45Z</cp:lastPrinted>
  <dcterms:modified xsi:type="dcterms:W3CDTF">2025-11-11T02:54:37Z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